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0240" w14:textId="3091233A" w:rsidR="000C5CDA" w:rsidRDefault="00297EA9" w:rsidP="000C5CDA">
      <w:pPr>
        <w:rPr>
          <w:sz w:val="23"/>
          <w:szCs w:val="23"/>
        </w:rPr>
      </w:pPr>
      <w:r w:rsidRPr="00EA1839">
        <w:rPr>
          <w:rFonts w:ascii="Arial" w:hAnsi="Arial" w:cs="Arial"/>
          <w:noProof/>
          <w:lang w:val="en-US"/>
        </w:rPr>
        <w:drawing>
          <wp:anchor distT="0" distB="0" distL="114300" distR="114300" simplePos="0" relativeHeight="251679744" behindDoc="1" locked="0" layoutInCell="1" allowOverlap="1" wp14:anchorId="4B01224A" wp14:editId="058D4FE5">
            <wp:simplePos x="0" y="0"/>
            <wp:positionH relativeFrom="column">
              <wp:posOffset>0</wp:posOffset>
            </wp:positionH>
            <wp:positionV relativeFrom="paragraph">
              <wp:posOffset>-635</wp:posOffset>
            </wp:positionV>
            <wp:extent cx="1806677" cy="998910"/>
            <wp:effectExtent l="0" t="0" r="3175" b="0"/>
            <wp:wrapNone/>
            <wp:docPr id="2" name="Picture 2" descr="C:\Users\paredes\Seafile\prescommon\Administration\McMaster Logos and Signage\McMaster University Logo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edes\Seafile\prescommon\Administration\McMaster Logos and Signage\McMaster University Logo_full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571" cy="10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38D34" w14:textId="77777777" w:rsidR="00297EA9" w:rsidRDefault="00297EA9" w:rsidP="000C5CDA">
      <w:pPr>
        <w:rPr>
          <w:b/>
        </w:rPr>
      </w:pPr>
    </w:p>
    <w:p w14:paraId="7022FB3E" w14:textId="77777777" w:rsidR="00297EA9" w:rsidRDefault="00297EA9" w:rsidP="000C5CDA">
      <w:pPr>
        <w:rPr>
          <w:b/>
        </w:rPr>
      </w:pPr>
    </w:p>
    <w:p w14:paraId="65B01E8E" w14:textId="77777777" w:rsidR="00297EA9" w:rsidRDefault="00297EA9" w:rsidP="000C5CDA">
      <w:pPr>
        <w:rPr>
          <w:b/>
        </w:rPr>
      </w:pPr>
    </w:p>
    <w:p w14:paraId="6C0FDF0B" w14:textId="593C50A9" w:rsidR="00E40DBC" w:rsidRDefault="00DE528B" w:rsidP="00E40DBC">
      <w:pPr>
        <w:rPr>
          <w:b/>
        </w:rPr>
      </w:pPr>
      <w:r>
        <w:rPr>
          <w:b/>
        </w:rPr>
        <w:t xml:space="preserve">Freedom of Speech Annual Report </w:t>
      </w:r>
      <w:r w:rsidR="00297EA9">
        <w:rPr>
          <w:b/>
        </w:rPr>
        <w:t xml:space="preserve">– </w:t>
      </w:r>
      <w:r w:rsidR="00927121">
        <w:rPr>
          <w:b/>
        </w:rPr>
        <w:t>August 2022</w:t>
      </w:r>
    </w:p>
    <w:p w14:paraId="2EA0CFFE" w14:textId="77777777" w:rsidR="00F506E0" w:rsidRDefault="00E40DBC" w:rsidP="00E40DBC">
      <w:pPr>
        <w:rPr>
          <w:b/>
        </w:rPr>
      </w:pPr>
      <w:r>
        <w:rPr>
          <w:b/>
        </w:rPr>
        <w:t xml:space="preserve">Section A: </w:t>
      </w:r>
      <w:r w:rsidRPr="00D462FA">
        <w:rPr>
          <w:b/>
        </w:rPr>
        <w:t xml:space="preserve">Institutional </w:t>
      </w:r>
      <w:r>
        <w:rPr>
          <w:b/>
        </w:rPr>
        <w:t xml:space="preserve">Policy </w:t>
      </w:r>
    </w:p>
    <w:p w14:paraId="37ECA3E1" w14:textId="268DF29A" w:rsidR="00E40DBC" w:rsidRPr="00DE1E3D" w:rsidRDefault="00E40DBC" w:rsidP="00E40DBC">
      <w:r w:rsidRPr="00DE1E3D">
        <w:t xml:space="preserve">You may append additional documentation or institution-specific information as you see fit. </w:t>
      </w:r>
    </w:p>
    <w:p w14:paraId="0C57C463" w14:textId="51C596BC" w:rsidR="00E40DBC" w:rsidRDefault="00E40DBC" w:rsidP="00E40DBC">
      <w:r>
        <w:rPr>
          <w:noProof/>
          <w:lang w:eastAsia="en-CA"/>
        </w:rPr>
        <mc:AlternateContent>
          <mc:Choice Requires="wps">
            <w:drawing>
              <wp:anchor distT="0" distB="0" distL="114300" distR="114300" simplePos="0" relativeHeight="251670528" behindDoc="0" locked="0" layoutInCell="1" allowOverlap="1" wp14:anchorId="399D1710" wp14:editId="5A8AA644">
                <wp:simplePos x="0" y="0"/>
                <wp:positionH relativeFrom="margin">
                  <wp:align>right</wp:align>
                </wp:positionH>
                <wp:positionV relativeFrom="paragraph">
                  <wp:posOffset>598805</wp:posOffset>
                </wp:positionV>
                <wp:extent cx="5910580" cy="7429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5910580" cy="742950"/>
                        </a:xfrm>
                        <a:prstGeom prst="rect">
                          <a:avLst/>
                        </a:prstGeom>
                        <a:solidFill>
                          <a:schemeClr val="lt1"/>
                        </a:solidFill>
                        <a:ln w="6350">
                          <a:solidFill>
                            <a:prstClr val="black"/>
                          </a:solidFill>
                        </a:ln>
                      </wps:spPr>
                      <wps:txbx>
                        <w:txbxContent>
                          <w:p w14:paraId="0D597904" w14:textId="69049B94" w:rsidR="00E40DBC" w:rsidRPr="006D0CD7" w:rsidRDefault="00FB02C9" w:rsidP="00E40DBC">
                            <w:pPr>
                              <w:rPr>
                                <w:rFonts w:ascii="Times New Roman" w:hAnsi="Times New Roman" w:cs="Times New Roman"/>
                              </w:rPr>
                            </w:pPr>
                            <w:r w:rsidRPr="006D0CD7">
                              <w:rPr>
                                <w:rFonts w:ascii="Times New Roman" w:hAnsi="Times New Roman" w:cs="Times New Roman"/>
                              </w:rPr>
                              <w:t>No changes have been made to the free speech policy framework during the reporting period.</w:t>
                            </w:r>
                          </w:p>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D1710" id="_x0000_t202" coordsize="21600,21600" o:spt="202" path="m,l,21600r21600,l21600,xe">
                <v:stroke joinstyle="miter"/>
                <v:path gradientshapeok="t" o:connecttype="rect"/>
              </v:shapetype>
              <v:shape id="Text Box 3" o:spid="_x0000_s1026" type="#_x0000_t202" style="position:absolute;margin-left:414.2pt;margin-top:47.15pt;width:465.4pt;height:58.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" fillcolor="white [3201]" strokeweight=".5pt">
                <v:textbox>
                  <w:txbxContent>
                    <w:p w14:paraId="0D597904" w14:textId="69049B94" w:rsidR="00E40DBC" w:rsidRPr="006D0CD7" w:rsidRDefault="00FB02C9" w:rsidP="00E40DBC">
                      <w:pPr>
                        <w:rPr>
                          <w:rFonts w:ascii="Times New Roman" w:hAnsi="Times New Roman" w:cs="Times New Roman"/>
                        </w:rPr>
                      </w:pPr>
                      <w:r w:rsidRPr="006D0CD7">
                        <w:rPr>
                          <w:rFonts w:ascii="Times New Roman" w:hAnsi="Times New Roman" w:cs="Times New Roman"/>
                        </w:rPr>
                        <w:t>No changes have been made to the free speech policy framework during the reporting period.</w:t>
                      </w:r>
                    </w:p>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v:textbox>
                <w10:wrap type="topAndBottom" anchorx="margin"/>
              </v:shape>
            </w:pict>
          </mc:Fallback>
        </mc:AlternateContent>
      </w:r>
      <w:r>
        <w:t>Has your institution amended its free speech policy (or policy framework) since the time of your 20</w:t>
      </w:r>
      <w:r w:rsidR="004621E4">
        <w:t>2</w:t>
      </w:r>
      <w:r w:rsidR="00B44947">
        <w:t>1</w:t>
      </w:r>
      <w:r>
        <w:t xml:space="preserve"> report? If so, please explain the reason for the change and provide the link to its location on your institutional website.</w:t>
      </w:r>
    </w:p>
    <w:p w14:paraId="1E15AEAF" w14:textId="77777777" w:rsidR="00E40DBC" w:rsidRDefault="00E40DBC" w:rsidP="00E40DBC">
      <w:pPr>
        <w:rPr>
          <w:b/>
          <w:color w:val="1F497D"/>
        </w:rPr>
      </w:pPr>
    </w:p>
    <w:p w14:paraId="40DB2333" w14:textId="099051C9" w:rsidR="00E40DBC" w:rsidRPr="00A73409" w:rsidRDefault="00E40DBC" w:rsidP="00E40DBC">
      <w:r>
        <w:rPr>
          <w:noProof/>
          <w:lang w:eastAsia="en-CA"/>
        </w:rPr>
        <mc:AlternateContent>
          <mc:Choice Requires="wps">
            <w:drawing>
              <wp:anchor distT="0" distB="0" distL="114300" distR="114300" simplePos="0" relativeHeight="251671552" behindDoc="0" locked="0" layoutInCell="1" allowOverlap="1" wp14:anchorId="1419564C" wp14:editId="03BD922C">
                <wp:simplePos x="0" y="0"/>
                <wp:positionH relativeFrom="margin">
                  <wp:posOffset>22860</wp:posOffset>
                </wp:positionH>
                <wp:positionV relativeFrom="paragraph">
                  <wp:posOffset>639445</wp:posOffset>
                </wp:positionV>
                <wp:extent cx="5939155" cy="1336040"/>
                <wp:effectExtent l="0" t="0" r="17145" b="10160"/>
                <wp:wrapTopAndBottom/>
                <wp:docPr id="5" name="Text Box 5"/>
                <wp:cNvGraphicFramePr/>
                <a:graphic xmlns:a="http://schemas.openxmlformats.org/drawingml/2006/main">
                  <a:graphicData uri="http://schemas.microsoft.com/office/word/2010/wordprocessingShape">
                    <wps:wsp>
                      <wps:cNvSpPr txBox="1"/>
                      <wps:spPr>
                        <a:xfrm>
                          <a:off x="0" y="0"/>
                          <a:ext cx="5939155" cy="1336040"/>
                        </a:xfrm>
                        <a:prstGeom prst="rect">
                          <a:avLst/>
                        </a:prstGeom>
                        <a:solidFill>
                          <a:schemeClr val="lt1"/>
                        </a:solidFill>
                        <a:ln w="6350">
                          <a:solidFill>
                            <a:prstClr val="black"/>
                          </a:solidFill>
                        </a:ln>
                      </wps:spPr>
                      <wps:txbx>
                        <w:txbxContent>
                          <w:p w14:paraId="6A040666" w14:textId="530AD0A7" w:rsidR="00AC372A" w:rsidRDefault="00AC372A" w:rsidP="00AC372A">
                            <w:pPr>
                              <w:pStyle w:val="NormalWeb"/>
                            </w:pPr>
                            <w:r>
                              <w:rPr>
                                <w:rFonts w:ascii="TimesNewRomanPSMT" w:hAnsi="TimesNewRomanPSMT"/>
                              </w:rPr>
                              <w:t xml:space="preserve">Enquiries about particular events are typically directed to the event organizer in the first instance and referred to other offices, as appropriate, where additional information or support is needed. Offices that might be engaged to respond to enquiries include the Equity and Inclusion Office, Student Affairs, and Communications and Public Affairs, with other units and individuals being brought in as needed. In the event that complaints are received, these would typically be referred to the University’s Equity and Inclusion Office </w:t>
                            </w:r>
                            <w:r w:rsidR="000057A7">
                              <w:rPr>
                                <w:rFonts w:ascii="TimesNewRomanPSMT" w:hAnsi="TimesNewRomanPSMT"/>
                              </w:rPr>
                              <w:t>(</w:t>
                            </w:r>
                            <w:hyperlink r:id="rId12" w:history="1">
                              <w:r w:rsidR="000057A7" w:rsidRPr="001B4644">
                                <w:rPr>
                                  <w:rStyle w:val="Hyperlink"/>
                                  <w:rFonts w:ascii="TimesNewRomanPSMT" w:hAnsi="TimesNewRomanPSMT"/>
                                </w:rPr>
                                <w:t>equity@mcmaster.ca</w:t>
                              </w:r>
                            </w:hyperlink>
                            <w:r w:rsidR="000057A7">
                              <w:rPr>
                                <w:rFonts w:ascii="TimesNewRomanPSMT" w:hAnsi="TimesNewRomanPSMT"/>
                              </w:rPr>
                              <w:t xml:space="preserve">) </w:t>
                            </w:r>
                            <w:r>
                              <w:rPr>
                                <w:rFonts w:ascii="TimesNewRomanPSMT" w:hAnsi="TimesNewRomanPSMT"/>
                              </w:rPr>
                              <w:t xml:space="preserve">for review in the first instance. </w:t>
                            </w:r>
                          </w:p>
                          <w:p w14:paraId="218924A4" w14:textId="377655C4" w:rsidR="00AC372A" w:rsidRDefault="00AC372A" w:rsidP="00AC372A">
                            <w:pPr>
                              <w:pStyle w:val="NormalWeb"/>
                            </w:pPr>
                          </w:p>
                          <w:p w14:paraId="3C84392A"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9564C" id="Text Box 5" o:spid="_x0000_s1027" type="#_x0000_t202" style="position:absolute;margin-left:1.8pt;margin-top:50.35pt;width:467.65pt;height:10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" fillcolor="white [3201]" strokeweight=".5pt">
                <v:textbox>
                  <w:txbxContent>
                    <w:p w14:paraId="6A040666" w14:textId="530AD0A7" w:rsidR="00AC372A" w:rsidRDefault="00AC372A" w:rsidP="00AC372A">
                      <w:pPr>
                        <w:pStyle w:val="NormalWeb"/>
                      </w:pPr>
                      <w:r>
                        <w:rPr>
                          <w:rFonts w:ascii="TimesNewRomanPSMT" w:hAnsi="TimesNewRomanPSMT"/>
                        </w:rPr>
                        <w:t xml:space="preserve">Enquiries about particular events are typically directed to the event organizer in the first instance and referred to other offices, as appropriate, where additional information or support is needed. Offices that might be engaged to respond to enquiries include the Equity and Inclusion Office, Student Affairs, and Communications and Public Affairs, with other units and individuals being brought in as needed. In the event that complaints are received, these would typically be referred to the University’s Equity and Inclusion Office </w:t>
                      </w:r>
                      <w:r w:rsidR="000057A7">
                        <w:rPr>
                          <w:rFonts w:ascii="TimesNewRomanPSMT" w:hAnsi="TimesNewRomanPSMT"/>
                        </w:rPr>
                        <w:t>(</w:t>
                      </w:r>
                      <w:hyperlink r:id="rId13" w:history="1">
                        <w:r w:rsidR="000057A7" w:rsidRPr="001B4644">
                          <w:rPr>
                            <w:rStyle w:val="Hyperlink"/>
                            <w:rFonts w:ascii="TimesNewRomanPSMT" w:hAnsi="TimesNewRomanPSMT"/>
                          </w:rPr>
                          <w:t>equity@mcmaster.ca</w:t>
                        </w:r>
                      </w:hyperlink>
                      <w:r w:rsidR="000057A7">
                        <w:rPr>
                          <w:rFonts w:ascii="TimesNewRomanPSMT" w:hAnsi="TimesNewRomanPSMT"/>
                        </w:rPr>
                        <w:t xml:space="preserve">) </w:t>
                      </w:r>
                      <w:r>
                        <w:rPr>
                          <w:rFonts w:ascii="TimesNewRomanPSMT" w:hAnsi="TimesNewRomanPSMT"/>
                        </w:rPr>
                        <w:t xml:space="preserve">for review in the first instance. </w:t>
                      </w:r>
                    </w:p>
                    <w:p w14:paraId="218924A4" w14:textId="377655C4" w:rsidR="00AC372A" w:rsidRDefault="00AC372A" w:rsidP="00AC372A">
                      <w:pPr>
                        <w:pStyle w:val="NormalWeb"/>
                      </w:pPr>
                    </w:p>
                    <w:p w14:paraId="3C84392A" w14:textId="77777777" w:rsidR="00E40DBC" w:rsidRDefault="00E40DBC" w:rsidP="00E40DBC"/>
                  </w:txbxContent>
                </v:textbox>
                <w10:wrap type="topAndBottom" anchorx="margin"/>
              </v:shape>
            </w:pict>
          </mc:Fallback>
        </mc:AlternateContent>
      </w:r>
      <w:r>
        <w:t>W</w:t>
      </w:r>
      <w:r w:rsidRPr="00A73409">
        <w:t xml:space="preserve">here </w:t>
      </w:r>
      <w:r>
        <w:t xml:space="preserve">are </w:t>
      </w:r>
      <w:r w:rsidRPr="00A73409">
        <w:t>members of the institutional community (or guests) directed when there is a free</w:t>
      </w:r>
      <w:r w:rsidR="000B5AF8">
        <w:t xml:space="preserve"> </w:t>
      </w:r>
      <w:r w:rsidRPr="00A73409">
        <w:t xml:space="preserve">speech related question or complaint about an event on campus? </w:t>
      </w:r>
      <w:r>
        <w:t xml:space="preserve">Please provide contact information. </w:t>
      </w:r>
    </w:p>
    <w:p w14:paraId="31E23B23" w14:textId="77777777" w:rsidR="00E40DBC" w:rsidRDefault="00E40DBC" w:rsidP="00E40DBC"/>
    <w:p w14:paraId="4F037EDD" w14:textId="77777777" w:rsidR="00E40DBC" w:rsidRPr="00256A65" w:rsidRDefault="00E40DBC" w:rsidP="00E40DBC">
      <w:r>
        <w:rPr>
          <w:noProof/>
          <w:lang w:eastAsia="en-CA"/>
        </w:rPr>
        <mc:AlternateContent>
          <mc:Choice Requires="wps">
            <w:drawing>
              <wp:anchor distT="0" distB="0" distL="114300" distR="114300" simplePos="0" relativeHeight="251673600" behindDoc="0" locked="0" layoutInCell="1" allowOverlap="1" wp14:anchorId="2E8E484B" wp14:editId="6135DA49">
                <wp:simplePos x="0" y="0"/>
                <wp:positionH relativeFrom="margin">
                  <wp:posOffset>-39370</wp:posOffset>
                </wp:positionH>
                <wp:positionV relativeFrom="paragraph">
                  <wp:posOffset>822325</wp:posOffset>
                </wp:positionV>
                <wp:extent cx="5876925" cy="937260"/>
                <wp:effectExtent l="0" t="0" r="15875" b="15240"/>
                <wp:wrapTopAndBottom/>
                <wp:docPr id="8" name="Text Box 8"/>
                <wp:cNvGraphicFramePr/>
                <a:graphic xmlns:a="http://schemas.openxmlformats.org/drawingml/2006/main">
                  <a:graphicData uri="http://schemas.microsoft.com/office/word/2010/wordprocessingShape">
                    <wps:wsp>
                      <wps:cNvSpPr txBox="1"/>
                      <wps:spPr>
                        <a:xfrm>
                          <a:off x="0" y="0"/>
                          <a:ext cx="5876925" cy="937260"/>
                        </a:xfrm>
                        <a:prstGeom prst="rect">
                          <a:avLst/>
                        </a:prstGeom>
                        <a:solidFill>
                          <a:schemeClr val="lt1"/>
                        </a:solidFill>
                        <a:ln w="6350">
                          <a:solidFill>
                            <a:prstClr val="black"/>
                          </a:solidFill>
                        </a:ln>
                      </wps:spPr>
                      <wps:txbx>
                        <w:txbxContent>
                          <w:p w14:paraId="14407CA9" w14:textId="57697A46" w:rsidR="00AC372A" w:rsidRDefault="00AC372A" w:rsidP="00AC372A">
                            <w:pPr>
                              <w:pStyle w:val="NormalWeb"/>
                            </w:pPr>
                            <w:r>
                              <w:rPr>
                                <w:rFonts w:ascii="TimesNewRomanPSMT" w:hAnsi="TimesNewRomanPSMT"/>
                              </w:rPr>
                              <w:t xml:space="preserve">Where safety concerns with regard to an event have been identified, McMaster’s Security Services is engaged to support safety planning and work with event organizers to ensure that planned events are able to proceed wherever possible. The University is not aware of any events that were unable to proceed due to cost and/or safety concerns. </w:t>
                            </w:r>
                          </w:p>
                          <w:p w14:paraId="3791C844"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484B" id="Text Box 8" o:spid="_x0000_s1028" type="#_x0000_t202" style="position:absolute;margin-left:-3.1pt;margin-top:64.75pt;width:462.75pt;height:73.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" fillcolor="white [3201]" strokeweight=".5pt">
                <v:textbox>
                  <w:txbxContent>
                    <w:p w14:paraId="14407CA9" w14:textId="57697A46" w:rsidR="00AC372A" w:rsidRDefault="00AC372A" w:rsidP="00AC372A">
                      <w:pPr>
                        <w:pStyle w:val="NormalWeb"/>
                      </w:pPr>
                      <w:r>
                        <w:rPr>
                          <w:rFonts w:ascii="TimesNewRomanPSMT" w:hAnsi="TimesNewRomanPSMT"/>
                        </w:rPr>
                        <w:t xml:space="preserve">Where safety concerns with regard to an event have been identified, McMaster’s Security Services is engaged to support safety planning and work with event organizers to ensure that planned events are able to proceed wherever possible. The University is not aware of any events that were unable to proceed due to cost and/or safety concerns. </w:t>
                      </w:r>
                    </w:p>
                    <w:p w14:paraId="3791C844" w14:textId="77777777" w:rsidR="00E40DBC" w:rsidRDefault="00E40DBC" w:rsidP="00E40DBC"/>
                  </w:txbxContent>
                </v:textbox>
                <w10:wrap type="topAndBottom" anchorx="margin"/>
              </v:shape>
            </w:pict>
          </mc:Fallback>
        </mc:AlternateContent>
      </w:r>
      <w:r>
        <w:t xml:space="preserve">What is your institution’s policy on holding events where there are security concerns? </w:t>
      </w:r>
      <w:r w:rsidRPr="00A73409">
        <w:t>To your knowledge, were there any instances where a non-curricul</w:t>
      </w:r>
      <w:r>
        <w:t>ar</w:t>
      </w:r>
      <w:r w:rsidRPr="00A73409">
        <w:t xml:space="preserve"> event did not proceed due to </w:t>
      </w:r>
      <w:r>
        <w:t xml:space="preserve">security </w:t>
      </w:r>
      <w:r w:rsidRPr="00A73409">
        <w:t>concerns</w:t>
      </w:r>
      <w:r>
        <w:t xml:space="preserve"> or their related costs</w:t>
      </w:r>
      <w:r w:rsidRPr="00A73409">
        <w:t>?</w:t>
      </w:r>
      <w:r>
        <w:rPr>
          <w:b/>
        </w:rPr>
        <w:br w:type="page"/>
      </w:r>
    </w:p>
    <w:p w14:paraId="5426B342" w14:textId="77777777" w:rsidR="00E40DBC" w:rsidRDefault="00E40DBC" w:rsidP="00E40DBC">
      <w:pPr>
        <w:rPr>
          <w:b/>
        </w:rPr>
      </w:pPr>
      <w:r>
        <w:rPr>
          <w:b/>
        </w:rPr>
        <w:lastRenderedPageBreak/>
        <w:t xml:space="preserve">Section B: </w:t>
      </w:r>
      <w:r w:rsidRPr="00A73409">
        <w:rPr>
          <w:b/>
        </w:rPr>
        <w:t>Complaints</w:t>
      </w:r>
    </w:p>
    <w:p w14:paraId="6BB7D60C" w14:textId="194BCE37" w:rsidR="00E40DBC" w:rsidRPr="004568A2" w:rsidRDefault="00E40DBC" w:rsidP="00E40DBC">
      <w:r w:rsidRPr="004568A2">
        <w:t xml:space="preserve">You may append additional documentation or institution-specific information as you see fit. </w:t>
      </w:r>
    </w:p>
    <w:p w14:paraId="069B79DB" w14:textId="1F415892" w:rsidR="00E40DBC" w:rsidRDefault="008E6B65" w:rsidP="00E40DBC">
      <w:pPr>
        <w:spacing w:after="240"/>
      </w:pPr>
      <w:r>
        <w:rPr>
          <w:noProof/>
          <w:lang w:eastAsia="en-CA"/>
        </w:rPr>
        <mc:AlternateContent>
          <mc:Choice Requires="wps">
            <w:drawing>
              <wp:anchor distT="0" distB="0" distL="114300" distR="114300" simplePos="0" relativeHeight="251672576" behindDoc="0" locked="0" layoutInCell="1" allowOverlap="1" wp14:anchorId="53AC481C" wp14:editId="5B9E32AA">
                <wp:simplePos x="0" y="0"/>
                <wp:positionH relativeFrom="margin">
                  <wp:posOffset>50800</wp:posOffset>
                </wp:positionH>
                <wp:positionV relativeFrom="paragraph">
                  <wp:posOffset>732790</wp:posOffset>
                </wp:positionV>
                <wp:extent cx="5910580" cy="609600"/>
                <wp:effectExtent l="0" t="0" r="7620" b="12700"/>
                <wp:wrapTopAndBottom/>
                <wp:docPr id="7" name="Text Box 7"/>
                <wp:cNvGraphicFramePr/>
                <a:graphic xmlns:a="http://schemas.openxmlformats.org/drawingml/2006/main">
                  <a:graphicData uri="http://schemas.microsoft.com/office/word/2010/wordprocessingShape">
                    <wps:wsp>
                      <wps:cNvSpPr txBox="1"/>
                      <wps:spPr>
                        <a:xfrm>
                          <a:off x="0" y="0"/>
                          <a:ext cx="5910580" cy="609600"/>
                        </a:xfrm>
                        <a:prstGeom prst="rect">
                          <a:avLst/>
                        </a:prstGeom>
                        <a:solidFill>
                          <a:schemeClr val="lt1"/>
                        </a:solidFill>
                        <a:ln w="6350">
                          <a:solidFill>
                            <a:prstClr val="black"/>
                          </a:solidFill>
                        </a:ln>
                      </wps:spPr>
                      <wps:txbx>
                        <w:txbxContent>
                          <w:p w14:paraId="6EBCA188" w14:textId="2495E956" w:rsidR="00E40DBC" w:rsidRPr="008E6B65" w:rsidRDefault="008E6B65" w:rsidP="00E40DBC">
                            <w:pPr>
                              <w:rPr>
                                <w:rFonts w:ascii="Times New Roman" w:hAnsi="Times New Roman" w:cs="Times New Roman"/>
                              </w:rPr>
                            </w:pPr>
                            <w:r>
                              <w:rPr>
                                <w:rFonts w:ascii="Times New Roman" w:hAnsi="Times New Roman" w:cs="Times New Roman"/>
                              </w:rPr>
                              <w:t xml:space="preserve">The University is not aware of any official complaints relating to free speech </w:t>
                            </w:r>
                            <w:r w:rsidR="00D04654">
                              <w:rPr>
                                <w:rFonts w:ascii="Times New Roman" w:hAnsi="Times New Roman" w:cs="Times New Roman"/>
                              </w:rPr>
                              <w:t>initiated</w:t>
                            </w:r>
                            <w:r>
                              <w:rPr>
                                <w:rFonts w:ascii="Times New Roman" w:hAnsi="Times New Roman" w:cs="Times New Roman"/>
                              </w:rPr>
                              <w:t xml:space="preserve"> during this period.</w:t>
                            </w:r>
                          </w:p>
                          <w:p w14:paraId="558DCD86" w14:textId="77777777" w:rsidR="00E40DBC" w:rsidRDefault="00E40DBC" w:rsidP="00E40DBC"/>
                          <w:p w14:paraId="3C1275E8"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C481C" id="_x0000_t202" coordsize="21600,21600" o:spt="202" path="m,l,21600r21600,l21600,xe">
                <v:stroke joinstyle="miter"/>
                <v:path gradientshapeok="t" o:connecttype="rect"/>
              </v:shapetype>
              <v:shape id="Text Box 7" o:spid="_x0000_s1029" type="#_x0000_t202" style="position:absolute;margin-left:4pt;margin-top:57.7pt;width:465.4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" fillcolor="white [3201]" strokeweight=".5pt">
                <v:textbox>
                  <w:txbxContent>
                    <w:p w14:paraId="6EBCA188" w14:textId="2495E956" w:rsidR="00E40DBC" w:rsidRPr="008E6B65" w:rsidRDefault="008E6B65" w:rsidP="00E40DBC">
                      <w:pPr>
                        <w:rPr>
                          <w:rFonts w:ascii="Times New Roman" w:hAnsi="Times New Roman" w:cs="Times New Roman"/>
                        </w:rPr>
                      </w:pPr>
                      <w:r>
                        <w:rPr>
                          <w:rFonts w:ascii="Times New Roman" w:hAnsi="Times New Roman" w:cs="Times New Roman"/>
                        </w:rPr>
                        <w:t xml:space="preserve">The University is not aware of any official complaints relating to free speech </w:t>
                      </w:r>
                      <w:r w:rsidR="00D04654">
                        <w:rPr>
                          <w:rFonts w:ascii="Times New Roman" w:hAnsi="Times New Roman" w:cs="Times New Roman"/>
                        </w:rPr>
                        <w:t>initiated</w:t>
                      </w:r>
                      <w:r>
                        <w:rPr>
                          <w:rFonts w:ascii="Times New Roman" w:hAnsi="Times New Roman" w:cs="Times New Roman"/>
                        </w:rPr>
                        <w:t xml:space="preserve"> during this period.</w:t>
                      </w:r>
                    </w:p>
                    <w:p w14:paraId="558DCD86" w14:textId="77777777" w:rsidR="00E40DBC" w:rsidRDefault="00E40DBC" w:rsidP="00E40DBC"/>
                    <w:p w14:paraId="3C1275E8" w14:textId="77777777" w:rsidR="00E40DBC" w:rsidRDefault="00E40DBC" w:rsidP="00E40DBC"/>
                  </w:txbxContent>
                </v:textbox>
                <w10:wrap type="topAndBottom" anchorx="margin"/>
              </v:shape>
            </w:pict>
          </mc:Fallback>
        </mc:AlternateContent>
      </w:r>
      <w:r w:rsidR="00E40DBC" w:rsidRPr="00EE2634">
        <w:rPr>
          <w:bCs/>
        </w:rPr>
        <w:t>Between</w:t>
      </w:r>
      <w:r w:rsidR="00E40DBC">
        <w:rPr>
          <w:b/>
          <w:bCs/>
        </w:rPr>
        <w:t xml:space="preserve"> </w:t>
      </w:r>
      <w:r w:rsidR="00E40DBC" w:rsidRPr="008275F5">
        <w:rPr>
          <w:b/>
          <w:bCs/>
        </w:rPr>
        <w:t xml:space="preserve">August 1, </w:t>
      </w:r>
      <w:proofErr w:type="gramStart"/>
      <w:r w:rsidR="00E40DBC" w:rsidRPr="008275F5">
        <w:rPr>
          <w:b/>
          <w:bCs/>
        </w:rPr>
        <w:t>20</w:t>
      </w:r>
      <w:r w:rsidR="004621E4">
        <w:rPr>
          <w:b/>
          <w:bCs/>
        </w:rPr>
        <w:t>2</w:t>
      </w:r>
      <w:r w:rsidR="00D16D87">
        <w:rPr>
          <w:b/>
          <w:bCs/>
        </w:rPr>
        <w:t>1</w:t>
      </w:r>
      <w:proofErr w:type="gramEnd"/>
      <w:r w:rsidR="004621E4">
        <w:rPr>
          <w:b/>
          <w:bCs/>
        </w:rPr>
        <w:t xml:space="preserve"> </w:t>
      </w:r>
      <w:r w:rsidR="00E40DBC">
        <w:t xml:space="preserve">and </w:t>
      </w:r>
      <w:r w:rsidR="00E40DBC">
        <w:rPr>
          <w:b/>
          <w:bCs/>
        </w:rPr>
        <w:t>July 31</w:t>
      </w:r>
      <w:r w:rsidR="00E40DBC" w:rsidRPr="008275F5">
        <w:rPr>
          <w:b/>
          <w:bCs/>
        </w:rPr>
        <w:t>, 202</w:t>
      </w:r>
      <w:r w:rsidR="00D16D87">
        <w:rPr>
          <w:b/>
          <w:bCs/>
        </w:rPr>
        <w:t>2</w:t>
      </w:r>
      <w:r w:rsidR="00E40DBC">
        <w:t xml:space="preserve">, </w:t>
      </w:r>
      <w:r w:rsidR="00E40DBC">
        <w:rPr>
          <w:noProof/>
          <w:lang w:eastAsia="en-CA"/>
        </w:rPr>
        <w:t>did</w:t>
      </w:r>
      <w:r w:rsidR="00E40DBC" w:rsidRPr="00BC4E46">
        <w:t xml:space="preserve"> any</w:t>
      </w:r>
      <w:r w:rsidR="00E40DBC">
        <w:t xml:space="preserve"> </w:t>
      </w:r>
      <w:r w:rsidR="00E40DBC" w:rsidRPr="00BC4E46">
        <w:t xml:space="preserve">member of the institutional community (or guests) </w:t>
      </w:r>
      <w:r w:rsidR="00E40DBC">
        <w:t xml:space="preserve">make an official </w:t>
      </w:r>
      <w:r w:rsidR="00E40DBC" w:rsidRPr="00BC4E46">
        <w:t>complain</w:t>
      </w:r>
      <w:r w:rsidR="00E40DBC">
        <w:t xml:space="preserve">t about free speech on campus? If yes, please describe. </w:t>
      </w:r>
    </w:p>
    <w:p w14:paraId="159E84D4" w14:textId="19E5B2CF" w:rsidR="00E40DBC" w:rsidRDefault="00E40DBC" w:rsidP="00E40DBC"/>
    <w:p w14:paraId="7D5A6A51" w14:textId="77777777" w:rsidR="00E40DBC" w:rsidRDefault="00E40DBC" w:rsidP="00E40DBC">
      <w:r w:rsidRPr="00DD248E">
        <w:t>If there has been a</w:t>
      </w:r>
      <w:r>
        <w:t>n official</w:t>
      </w:r>
      <w:r w:rsidRPr="00DD248E">
        <w:t xml:space="preserve"> complaint (or more than one)</w:t>
      </w:r>
      <w:r>
        <w:t>:</w:t>
      </w:r>
    </w:p>
    <w:p w14:paraId="10AD9333" w14:textId="77777777" w:rsidR="00E40DBC" w:rsidRDefault="00E40DBC" w:rsidP="00E40DBC">
      <w:r>
        <w:rPr>
          <w:noProof/>
          <w:lang w:eastAsia="en-CA"/>
        </w:rPr>
        <mc:AlternateContent>
          <mc:Choice Requires="wps">
            <w:drawing>
              <wp:anchor distT="0" distB="0" distL="114300" distR="114300" simplePos="0" relativeHeight="251676672" behindDoc="0" locked="0" layoutInCell="1" allowOverlap="1" wp14:anchorId="12061930" wp14:editId="0152F4D2">
                <wp:simplePos x="0" y="0"/>
                <wp:positionH relativeFrom="margin">
                  <wp:posOffset>19050</wp:posOffset>
                </wp:positionH>
                <wp:positionV relativeFrom="paragraph">
                  <wp:posOffset>648970</wp:posOffset>
                </wp:positionV>
                <wp:extent cx="5910580" cy="753110"/>
                <wp:effectExtent l="0" t="0" r="13970" b="27940"/>
                <wp:wrapTopAndBottom/>
                <wp:docPr id="16" name="Text Box 16"/>
                <wp:cNvGraphicFramePr/>
                <a:graphic xmlns:a="http://schemas.openxmlformats.org/drawingml/2006/main">
                  <a:graphicData uri="http://schemas.microsoft.com/office/word/2010/wordprocessingShape">
                    <wps:wsp>
                      <wps:cNvSpPr txBox="1"/>
                      <wps:spPr>
                        <a:xfrm>
                          <a:off x="0" y="0"/>
                          <a:ext cx="5910580" cy="753110"/>
                        </a:xfrm>
                        <a:prstGeom prst="rect">
                          <a:avLst/>
                        </a:prstGeom>
                        <a:solidFill>
                          <a:schemeClr val="lt1"/>
                        </a:solidFill>
                        <a:ln w="6350">
                          <a:solidFill>
                            <a:prstClr val="black"/>
                          </a:solidFill>
                        </a:ln>
                      </wps:spPr>
                      <wps:txbx>
                        <w:txbxContent>
                          <w:p w14:paraId="2B421229" w14:textId="78A172D1" w:rsidR="00E40DBC" w:rsidRPr="00B44947" w:rsidRDefault="00B44947" w:rsidP="00E40DBC">
                            <w:pPr>
                              <w:rPr>
                                <w:rFonts w:ascii="Times New Roman" w:hAnsi="Times New Roman" w:cs="Times New Roman"/>
                                <w:lang w:val="en-US"/>
                              </w:rPr>
                            </w:pPr>
                            <w:r>
                              <w:rPr>
                                <w:rFonts w:ascii="Times New Roman" w:hAnsi="Times New Roman" w:cs="Times New Roman"/>
                                <w:lang w:val="en-US"/>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61930" id="_x0000_t202" coordsize="21600,21600" o:spt="202" path="m,l,21600r21600,l21600,xe">
                <v:stroke joinstyle="miter"/>
                <v:path gradientshapeok="t" o:connecttype="rect"/>
              </v:shapetype>
              <v:shape id="Text Box 16" o:spid="_x0000_s1030" type="#_x0000_t202" style="position:absolute;margin-left:1.5pt;margin-top:51.1pt;width:465.4pt;height:59.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" fillcolor="white [3201]" strokeweight=".5pt">
                <v:textbox>
                  <w:txbxContent>
                    <w:p w14:paraId="2B421229" w14:textId="78A172D1" w:rsidR="00E40DBC" w:rsidRPr="00B44947" w:rsidRDefault="00B44947" w:rsidP="00E40DBC">
                      <w:pPr>
                        <w:rPr>
                          <w:rFonts w:ascii="Times New Roman" w:hAnsi="Times New Roman" w:cs="Times New Roman"/>
                          <w:lang w:val="en-US"/>
                        </w:rPr>
                      </w:pPr>
                      <w:r>
                        <w:rPr>
                          <w:rFonts w:ascii="Times New Roman" w:hAnsi="Times New Roman" w:cs="Times New Roman"/>
                          <w:lang w:val="en-US"/>
                        </w:rPr>
                        <w:t>NA</w:t>
                      </w:r>
                    </w:p>
                  </w:txbxContent>
                </v:textbox>
                <w10:wrap type="topAndBottom" anchorx="margin"/>
              </v:shape>
            </w:pict>
          </mc:Fallback>
        </mc:AlternateContent>
      </w:r>
      <w:r>
        <w:t>W</w:t>
      </w:r>
      <w:r w:rsidRPr="00BC4E46">
        <w:t xml:space="preserve">hat were the issues under consideration? </w:t>
      </w:r>
      <w:r>
        <w:t>Please i</w:t>
      </w:r>
      <w:r w:rsidRPr="00BC4E46">
        <w:t xml:space="preserve">dentify any points of contention (e.g., security costs, safety, student unions and/or groups, operational requirements, etc.). </w:t>
      </w:r>
    </w:p>
    <w:p w14:paraId="6DF4C30C" w14:textId="77777777" w:rsidR="00E40DBC" w:rsidRDefault="00E40DBC" w:rsidP="00E40DBC"/>
    <w:p w14:paraId="61EB940D" w14:textId="77777777" w:rsidR="00E40DBC" w:rsidRDefault="00E40DBC" w:rsidP="00E40DBC">
      <w:r>
        <w:rPr>
          <w:noProof/>
          <w:lang w:eastAsia="en-CA"/>
        </w:rPr>
        <mc:AlternateContent>
          <mc:Choice Requires="wps">
            <w:drawing>
              <wp:anchor distT="0" distB="0" distL="114300" distR="114300" simplePos="0" relativeHeight="251674624" behindDoc="0" locked="0" layoutInCell="1" allowOverlap="1" wp14:anchorId="3720CDE9" wp14:editId="0088224A">
                <wp:simplePos x="0" y="0"/>
                <wp:positionH relativeFrom="margin">
                  <wp:align>left</wp:align>
                </wp:positionH>
                <wp:positionV relativeFrom="paragraph">
                  <wp:posOffset>469900</wp:posOffset>
                </wp:positionV>
                <wp:extent cx="5910580" cy="672465"/>
                <wp:effectExtent l="0" t="0" r="13970" b="13335"/>
                <wp:wrapTopAndBottom/>
                <wp:docPr id="10" name="Text Box 10"/>
                <wp:cNvGraphicFramePr/>
                <a:graphic xmlns:a="http://schemas.openxmlformats.org/drawingml/2006/main">
                  <a:graphicData uri="http://schemas.microsoft.com/office/word/2010/wordprocessingShape">
                    <wps:wsp>
                      <wps:cNvSpPr txBox="1"/>
                      <wps:spPr>
                        <a:xfrm>
                          <a:off x="0" y="0"/>
                          <a:ext cx="5910580" cy="672465"/>
                        </a:xfrm>
                        <a:prstGeom prst="rect">
                          <a:avLst/>
                        </a:prstGeom>
                        <a:solidFill>
                          <a:schemeClr val="lt1"/>
                        </a:solidFill>
                        <a:ln w="6350">
                          <a:solidFill>
                            <a:prstClr val="black"/>
                          </a:solidFill>
                        </a:ln>
                      </wps:spPr>
                      <wps:txbx>
                        <w:txbxContent>
                          <w:p w14:paraId="20BF704F" w14:textId="5DDB2B09" w:rsidR="00E40DBC" w:rsidRPr="00CB306C" w:rsidRDefault="008E6B65" w:rsidP="00E40DBC">
                            <w:pPr>
                              <w:rPr>
                                <w:rFonts w:ascii="Times New Roman" w:hAnsi="Times New Roman" w:cs="Times New Roman"/>
                                <w:szCs w:val="24"/>
                                <w:lang w:val="en-US"/>
                              </w:rPr>
                            </w:pPr>
                            <w:r>
                              <w:rPr>
                                <w:rFonts w:ascii="Times New Roman" w:hAnsi="Times New Roman" w:cs="Times New Roman"/>
                                <w:szCs w:val="24"/>
                                <w:lang w:val="en-US"/>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0CDE9" id="Text Box 10" o:spid="_x0000_s1031" type="#_x0000_t202" style="position:absolute;margin-left:0;margin-top:37pt;width:465.4pt;height:52.9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" fillcolor="white [3201]" strokeweight=".5pt">
                <v:textbox>
                  <w:txbxContent>
                    <w:p w14:paraId="20BF704F" w14:textId="5DDB2B09" w:rsidR="00E40DBC" w:rsidRPr="00CB306C" w:rsidRDefault="008E6B65" w:rsidP="00E40DBC">
                      <w:pPr>
                        <w:rPr>
                          <w:rFonts w:ascii="Times New Roman" w:hAnsi="Times New Roman" w:cs="Times New Roman"/>
                          <w:szCs w:val="24"/>
                          <w:lang w:val="en-US"/>
                        </w:rPr>
                      </w:pPr>
                      <w:r>
                        <w:rPr>
                          <w:rFonts w:ascii="Times New Roman" w:hAnsi="Times New Roman" w:cs="Times New Roman"/>
                          <w:szCs w:val="24"/>
                          <w:lang w:val="en-US"/>
                        </w:rPr>
                        <w:t>NA</w:t>
                      </w:r>
                    </w:p>
                  </w:txbxContent>
                </v:textbox>
                <w10:wrap type="topAndBottom" anchorx="margin"/>
              </v:shape>
            </w:pict>
          </mc:Fallback>
        </mc:AlternateContent>
      </w:r>
      <w:r w:rsidRPr="00BC4E46">
        <w:t xml:space="preserve">How did the institution manage the free speech </w:t>
      </w:r>
      <w:r>
        <w:t>complaint(s)</w:t>
      </w:r>
      <w:r w:rsidRPr="00BC4E46">
        <w:t>? Was the complaint addressed using the pr</w:t>
      </w:r>
      <w:r>
        <w:t>ocedures set out in the policy?</w:t>
      </w:r>
      <w:r w:rsidRPr="00BC4E46">
        <w:t xml:space="preserve"> How were issues resolved?</w:t>
      </w:r>
    </w:p>
    <w:p w14:paraId="259B97C2" w14:textId="77777777" w:rsidR="00E40DBC" w:rsidRDefault="00E40DBC" w:rsidP="00E40DBC"/>
    <w:p w14:paraId="5D19A991" w14:textId="77777777" w:rsidR="00E40DBC" w:rsidRDefault="00E40DBC" w:rsidP="00E40DBC">
      <w:pPr>
        <w:rPr>
          <w:b/>
          <w:bCs/>
        </w:rPr>
      </w:pPr>
      <w:r>
        <w:rPr>
          <w:b/>
          <w:bCs/>
        </w:rPr>
        <w:br w:type="page"/>
      </w:r>
    </w:p>
    <w:p w14:paraId="3C8B1371" w14:textId="77777777" w:rsidR="00E40DBC" w:rsidRPr="00FC54B5" w:rsidRDefault="00E40DBC" w:rsidP="00E40DBC">
      <w:pPr>
        <w:rPr>
          <w:b/>
          <w:bCs/>
        </w:rPr>
      </w:pPr>
      <w:r w:rsidRPr="00FC54B5">
        <w:rPr>
          <w:b/>
          <w:bCs/>
        </w:rPr>
        <w:lastRenderedPageBreak/>
        <w:t xml:space="preserve">Section </w:t>
      </w:r>
      <w:r>
        <w:rPr>
          <w:b/>
          <w:bCs/>
        </w:rPr>
        <w:t>C</w:t>
      </w:r>
      <w:r w:rsidRPr="00FC54B5">
        <w:rPr>
          <w:b/>
          <w:bCs/>
        </w:rPr>
        <w:t>: Summary</w:t>
      </w:r>
      <w:r>
        <w:rPr>
          <w:b/>
          <w:bCs/>
        </w:rPr>
        <w:t xml:space="preserve"> Data</w:t>
      </w:r>
      <w:r w:rsidRPr="00FC54B5">
        <w:rPr>
          <w:b/>
          <w:bCs/>
        </w:rPr>
        <w:t xml:space="preserve"> </w:t>
      </w:r>
    </w:p>
    <w:p w14:paraId="3E75A1E1" w14:textId="77777777" w:rsidR="00E40DBC" w:rsidRDefault="00E40DBC" w:rsidP="00E40DBC">
      <w:r>
        <w:t>Please provide the following summary data for free-speech-related official complaints received by the institution:</w:t>
      </w:r>
    </w:p>
    <w:tbl>
      <w:tblPr>
        <w:tblStyle w:val="TableGrid"/>
        <w:tblW w:w="0" w:type="auto"/>
        <w:tblLook w:val="04A0" w:firstRow="1" w:lastRow="0" w:firstColumn="1" w:lastColumn="0" w:noHBand="0" w:noVBand="1"/>
      </w:tblPr>
      <w:tblGrid>
        <w:gridCol w:w="7933"/>
        <w:gridCol w:w="1417"/>
      </w:tblGrid>
      <w:tr w:rsidR="00E40DBC" w14:paraId="6F3051D5" w14:textId="77777777" w:rsidTr="00FE1A09">
        <w:tc>
          <w:tcPr>
            <w:tcW w:w="7933" w:type="dxa"/>
          </w:tcPr>
          <w:p w14:paraId="41D007AF" w14:textId="77777777" w:rsidR="00E40DBC" w:rsidRDefault="00E40DBC" w:rsidP="00FE1A09">
            <w:r>
              <w:t>Number of official complaints received under the free speech policy relating to curricular and non-curricular events.</w:t>
            </w:r>
          </w:p>
          <w:p w14:paraId="64C3A155" w14:textId="77777777" w:rsidR="00E40DBC" w:rsidRDefault="00E40DBC" w:rsidP="00FE1A09"/>
        </w:tc>
        <w:tc>
          <w:tcPr>
            <w:tcW w:w="1417" w:type="dxa"/>
          </w:tcPr>
          <w:p w14:paraId="40113523" w14:textId="411DEEA2" w:rsidR="00E40DBC" w:rsidRPr="007E61EB" w:rsidRDefault="00E30708" w:rsidP="00FE1A09">
            <w:pPr>
              <w:rPr>
                <w:rFonts w:ascii="Times New Roman" w:hAnsi="Times New Roman" w:cs="Times New Roman"/>
              </w:rPr>
            </w:pPr>
            <w:r>
              <w:rPr>
                <w:rFonts w:ascii="Times New Roman" w:hAnsi="Times New Roman" w:cs="Times New Roman"/>
              </w:rPr>
              <w:t>None</w:t>
            </w:r>
          </w:p>
        </w:tc>
      </w:tr>
      <w:tr w:rsidR="00E40DBC" w14:paraId="67255082" w14:textId="77777777" w:rsidTr="00FE1A09">
        <w:tc>
          <w:tcPr>
            <w:tcW w:w="7933" w:type="dxa"/>
          </w:tcPr>
          <w:p w14:paraId="2BC05B94" w14:textId="4613E5AE" w:rsidR="00E40DBC" w:rsidRDefault="00E40DBC" w:rsidP="00FE1A09">
            <w:r>
              <w:t xml:space="preserve">Number of official complaints reviewed that </w:t>
            </w:r>
            <w:r w:rsidR="00B44947">
              <w:t>did not procee1</w:t>
            </w:r>
            <w:r>
              <w:t>.</w:t>
            </w:r>
          </w:p>
          <w:p w14:paraId="0D8618B5" w14:textId="77777777" w:rsidR="00E40DBC" w:rsidRDefault="00E40DBC" w:rsidP="00FE1A09"/>
        </w:tc>
        <w:tc>
          <w:tcPr>
            <w:tcW w:w="1417" w:type="dxa"/>
          </w:tcPr>
          <w:p w14:paraId="6C6E865B" w14:textId="24CC9DE8" w:rsidR="00E40DBC" w:rsidRPr="007E61EB" w:rsidRDefault="00E07E26" w:rsidP="00FE1A09">
            <w:pPr>
              <w:rPr>
                <w:rFonts w:ascii="Times New Roman" w:hAnsi="Times New Roman" w:cs="Times New Roman"/>
              </w:rPr>
            </w:pPr>
            <w:r>
              <w:rPr>
                <w:rFonts w:ascii="Times New Roman" w:hAnsi="Times New Roman" w:cs="Times New Roman"/>
              </w:rPr>
              <w:t>None</w:t>
            </w:r>
          </w:p>
        </w:tc>
      </w:tr>
      <w:tr w:rsidR="00E40DBC" w14:paraId="2C6181EA" w14:textId="77777777" w:rsidTr="00FE1A09">
        <w:tc>
          <w:tcPr>
            <w:tcW w:w="7933" w:type="dxa"/>
          </w:tcPr>
          <w:p w14:paraId="1D8E8A62" w14:textId="77777777" w:rsidR="00E40DBC" w:rsidRDefault="00E40DBC" w:rsidP="00FE1A09">
            <w:r>
              <w:t xml:space="preserve">Number of official complaints where the institution determined that the free speech policy was not followed appropriately. </w:t>
            </w:r>
          </w:p>
          <w:p w14:paraId="005F8E73" w14:textId="77777777" w:rsidR="00E40DBC" w:rsidRDefault="00E40DBC" w:rsidP="00FE1A09"/>
        </w:tc>
        <w:tc>
          <w:tcPr>
            <w:tcW w:w="1417" w:type="dxa"/>
          </w:tcPr>
          <w:p w14:paraId="6CE871C5" w14:textId="58D29716" w:rsidR="00E40DBC" w:rsidRPr="007E61EB" w:rsidRDefault="00E07E26" w:rsidP="00FE1A09">
            <w:pPr>
              <w:rPr>
                <w:rFonts w:ascii="Times New Roman" w:hAnsi="Times New Roman" w:cs="Times New Roman"/>
              </w:rPr>
            </w:pPr>
            <w:r>
              <w:rPr>
                <w:rFonts w:ascii="Times New Roman" w:hAnsi="Times New Roman" w:cs="Times New Roman"/>
              </w:rPr>
              <w:t>None</w:t>
            </w:r>
          </w:p>
        </w:tc>
      </w:tr>
      <w:tr w:rsidR="00E40DBC" w14:paraId="7709416F" w14:textId="77777777" w:rsidTr="00FE1A09">
        <w:tc>
          <w:tcPr>
            <w:tcW w:w="7933" w:type="dxa"/>
          </w:tcPr>
          <w:p w14:paraId="33C1ACB9" w14:textId="77777777" w:rsidR="00E40DBC" w:rsidRDefault="00E40DBC" w:rsidP="00FE1A09">
            <w:r>
              <w:t>Number of official complaints under the free speech policy that resulted in the institution applying disciplinary or other institutional measures.</w:t>
            </w:r>
          </w:p>
          <w:p w14:paraId="280C1052" w14:textId="77777777" w:rsidR="00E40DBC" w:rsidRDefault="00E40DBC" w:rsidP="00FE1A09"/>
        </w:tc>
        <w:tc>
          <w:tcPr>
            <w:tcW w:w="1417" w:type="dxa"/>
          </w:tcPr>
          <w:p w14:paraId="71DAEED4" w14:textId="6C2FE667" w:rsidR="00E40DBC" w:rsidRPr="007E61EB" w:rsidRDefault="00E07E26" w:rsidP="00FE1A09">
            <w:pPr>
              <w:rPr>
                <w:rFonts w:ascii="Times New Roman" w:hAnsi="Times New Roman" w:cs="Times New Roman"/>
              </w:rPr>
            </w:pPr>
            <w:r>
              <w:rPr>
                <w:rFonts w:ascii="Times New Roman" w:hAnsi="Times New Roman" w:cs="Times New Roman"/>
              </w:rPr>
              <w:t>None</w:t>
            </w:r>
          </w:p>
        </w:tc>
      </w:tr>
      <w:tr w:rsidR="00E40DBC" w14:paraId="63B60D56" w14:textId="77777777" w:rsidTr="00FE1A09">
        <w:tc>
          <w:tcPr>
            <w:tcW w:w="7933" w:type="dxa"/>
          </w:tcPr>
          <w:p w14:paraId="39203A6F" w14:textId="77777777" w:rsidR="00E40DBC" w:rsidRDefault="00E40DBC" w:rsidP="00FE1A09">
            <w:r w:rsidRPr="00BC4E46">
              <w:t xml:space="preserve">To your knowledge, were any free speech complaints forwarded to the Ontario Ombudsman? </w:t>
            </w:r>
          </w:p>
          <w:p w14:paraId="246E7896" w14:textId="77777777" w:rsidR="00E40DBC" w:rsidRDefault="00E40DBC" w:rsidP="00FE1A09"/>
        </w:tc>
        <w:tc>
          <w:tcPr>
            <w:tcW w:w="1417" w:type="dxa"/>
          </w:tcPr>
          <w:p w14:paraId="3D14D82D" w14:textId="31BA6B6F" w:rsidR="00E40DBC" w:rsidRPr="007E61EB" w:rsidRDefault="00BE1DDC" w:rsidP="00FE1A09">
            <w:pPr>
              <w:rPr>
                <w:rFonts w:ascii="Times New Roman" w:hAnsi="Times New Roman" w:cs="Times New Roman"/>
              </w:rPr>
            </w:pPr>
            <w:r w:rsidRPr="007E61EB">
              <w:rPr>
                <w:rFonts w:ascii="Times New Roman" w:hAnsi="Times New Roman" w:cs="Times New Roman"/>
              </w:rPr>
              <w:t>N</w:t>
            </w:r>
            <w:r w:rsidR="007E61EB">
              <w:rPr>
                <w:rFonts w:ascii="Times New Roman" w:hAnsi="Times New Roman" w:cs="Times New Roman"/>
              </w:rPr>
              <w:t>o</w:t>
            </w:r>
            <w:r w:rsidR="00D04654">
              <w:rPr>
                <w:rFonts w:ascii="Times New Roman" w:hAnsi="Times New Roman" w:cs="Times New Roman"/>
              </w:rPr>
              <w:t>t to our knowledge</w:t>
            </w:r>
          </w:p>
        </w:tc>
      </w:tr>
    </w:tbl>
    <w:p w14:paraId="5A2A9806" w14:textId="77777777" w:rsidR="00E40DBC" w:rsidRDefault="00E40DBC" w:rsidP="00E40DBC">
      <w:pPr>
        <w:rPr>
          <w:noProof/>
        </w:rPr>
      </w:pPr>
    </w:p>
    <w:p w14:paraId="2F16FAB8" w14:textId="56A28204" w:rsidR="00E40DBC" w:rsidRDefault="00E40DBC" w:rsidP="00E40DBC">
      <w:r>
        <w:rPr>
          <w:noProof/>
          <w:lang w:eastAsia="en-CA"/>
        </w:rPr>
        <mc:AlternateContent>
          <mc:Choice Requires="wps">
            <w:drawing>
              <wp:anchor distT="0" distB="0" distL="114300" distR="114300" simplePos="0" relativeHeight="251677696" behindDoc="0" locked="0" layoutInCell="1" allowOverlap="1" wp14:anchorId="01981EAB" wp14:editId="23EEE570">
                <wp:simplePos x="0" y="0"/>
                <wp:positionH relativeFrom="margin">
                  <wp:posOffset>0</wp:posOffset>
                </wp:positionH>
                <wp:positionV relativeFrom="paragraph">
                  <wp:posOffset>1049655</wp:posOffset>
                </wp:positionV>
                <wp:extent cx="5910580" cy="1981200"/>
                <wp:effectExtent l="0" t="0" r="7620" b="12700"/>
                <wp:wrapTopAndBottom/>
                <wp:docPr id="4" name="Text Box 4"/>
                <wp:cNvGraphicFramePr/>
                <a:graphic xmlns:a="http://schemas.openxmlformats.org/drawingml/2006/main">
                  <a:graphicData uri="http://schemas.microsoft.com/office/word/2010/wordprocessingShape">
                    <wps:wsp>
                      <wps:cNvSpPr txBox="1"/>
                      <wps:spPr>
                        <a:xfrm>
                          <a:off x="0" y="0"/>
                          <a:ext cx="5910580" cy="1981200"/>
                        </a:xfrm>
                        <a:prstGeom prst="rect">
                          <a:avLst/>
                        </a:prstGeom>
                        <a:solidFill>
                          <a:schemeClr val="lt1"/>
                        </a:solidFill>
                        <a:ln w="6350">
                          <a:solidFill>
                            <a:prstClr val="black"/>
                          </a:solidFill>
                        </a:ln>
                      </wps:spPr>
                      <wps:txbx>
                        <w:txbxContent>
                          <w:p w14:paraId="6AD36756" w14:textId="4A32DE26" w:rsidR="00CA3FB2" w:rsidRDefault="008F0234" w:rsidP="00CA3FB2">
                            <w:pPr>
                              <w:pStyle w:val="NormalWeb"/>
                            </w:pPr>
                            <w:r>
                              <w:rPr>
                                <w:rFonts w:ascii="TimesNewRomanPSMT" w:hAnsi="TimesNewRomanPSMT"/>
                              </w:rPr>
                              <w:t>Prior to the pandemic, n</w:t>
                            </w:r>
                            <w:r w:rsidR="00CA3FB2">
                              <w:rPr>
                                <w:rFonts w:ascii="TimesNewRomanPSMT" w:hAnsi="TimesNewRomanPSMT"/>
                              </w:rPr>
                              <w:t>on-curricular events, ranging from panel discussions, seminars, lectures, to art installations, musical performances, information sessions, film screenings, public announcements, recognition events and more, t</w:t>
                            </w:r>
                            <w:r>
                              <w:rPr>
                                <w:rFonts w:ascii="TimesNewRomanPSMT" w:hAnsi="TimesNewRomanPSMT"/>
                              </w:rPr>
                              <w:t>ook</w:t>
                            </w:r>
                            <w:r w:rsidR="00CA3FB2">
                              <w:rPr>
                                <w:rFonts w:ascii="TimesNewRomanPSMT" w:hAnsi="TimesNewRomanPSMT"/>
                              </w:rPr>
                              <w:t xml:space="preserve"> place on our campus on a daily basis. </w:t>
                            </w:r>
                            <w:r w:rsidR="00F0597D">
                              <w:rPr>
                                <w:rFonts w:ascii="TimesNewRomanPSMT" w:hAnsi="TimesNewRomanPSMT"/>
                              </w:rPr>
                              <w:t>Events have continued in the virtual environment wherever possible, but since</w:t>
                            </w:r>
                            <w:r w:rsidR="00CA3FB2">
                              <w:rPr>
                                <w:rFonts w:ascii="TimesNewRomanPSMT" w:hAnsi="TimesNewRomanPSMT"/>
                              </w:rPr>
                              <w:t xml:space="preserve"> </w:t>
                            </w:r>
                            <w:r w:rsidR="00F0597D">
                              <w:rPr>
                                <w:rFonts w:ascii="TimesNewRomanPSMT" w:hAnsi="TimesNewRomanPSMT"/>
                              </w:rPr>
                              <w:t xml:space="preserve">non-curricular </w:t>
                            </w:r>
                            <w:r w:rsidR="00CA3FB2">
                              <w:rPr>
                                <w:rFonts w:ascii="TimesNewRomanPSMT" w:hAnsi="TimesNewRomanPSMT"/>
                              </w:rPr>
                              <w:t xml:space="preserve">events are organized and promoted by Faculties, Departments, individuals and groups across the campus, there is no accurate way of estimating the </w:t>
                            </w:r>
                            <w:r w:rsidR="00F0597D">
                              <w:rPr>
                                <w:rFonts w:ascii="TimesNewRomanPSMT" w:hAnsi="TimesNewRomanPSMT"/>
                              </w:rPr>
                              <w:t xml:space="preserve">total </w:t>
                            </w:r>
                            <w:r w:rsidR="00CA3FB2">
                              <w:rPr>
                                <w:rFonts w:ascii="TimesNewRomanPSMT" w:hAnsi="TimesNewRomanPSMT"/>
                              </w:rPr>
                              <w:t xml:space="preserve">number </w:t>
                            </w:r>
                            <w:r w:rsidR="00F0597D">
                              <w:rPr>
                                <w:rFonts w:ascii="TimesNewRomanPSMT" w:hAnsi="TimesNewRomanPSMT"/>
                              </w:rPr>
                              <w:t>held in either the physical or virtual environment</w:t>
                            </w:r>
                            <w:r w:rsidR="00D04654">
                              <w:rPr>
                                <w:rFonts w:ascii="TimesNewRomanPSMT" w:hAnsi="TimesNewRomanPSMT"/>
                              </w:rPr>
                              <w:t>s</w:t>
                            </w:r>
                            <w:r w:rsidR="00F0597D">
                              <w:rPr>
                                <w:rFonts w:ascii="TimesNewRomanPSMT" w:hAnsi="TimesNewRomanPSMT"/>
                              </w:rPr>
                              <w:t xml:space="preserve">. </w:t>
                            </w:r>
                            <w:r w:rsidR="00F0597D">
                              <w:rPr>
                                <w:rFonts w:ascii="TimesNewRomanPSMT" w:hAnsi="TimesNewRomanPSMT"/>
                              </w:rPr>
                              <w:t>However, as</w:t>
                            </w:r>
                            <w:r w:rsidR="00CA3FB2">
                              <w:rPr>
                                <w:rFonts w:ascii="TimesNewRomanPSMT" w:hAnsi="TimesNewRomanPSMT"/>
                              </w:rPr>
                              <w:t xml:space="preserve"> an illustrative example, our Environmental and Occupational Health Support Services office, which has responsibility for reviewing and approving student events, approved </w:t>
                            </w:r>
                            <w:r w:rsidR="00AF20D7">
                              <w:rPr>
                                <w:rFonts w:ascii="TimesNewRomanPSMT" w:hAnsi="TimesNewRomanPSMT"/>
                              </w:rPr>
                              <w:t xml:space="preserve">more than 3,100 </w:t>
                            </w:r>
                            <w:r w:rsidR="00F0597D">
                              <w:rPr>
                                <w:rFonts w:ascii="TimesNewRomanPSMT" w:hAnsi="TimesNewRomanPSMT"/>
                              </w:rPr>
                              <w:t xml:space="preserve">virtual </w:t>
                            </w:r>
                            <w:r w:rsidR="00AF20D7">
                              <w:rPr>
                                <w:rFonts w:ascii="TimesNewRomanPSMT" w:hAnsi="TimesNewRomanPSMT"/>
                              </w:rPr>
                              <w:t>and physical</w:t>
                            </w:r>
                            <w:r w:rsidR="00F0597D">
                              <w:rPr>
                                <w:rFonts w:ascii="TimesNewRomanPSMT" w:hAnsi="TimesNewRomanPSMT"/>
                              </w:rPr>
                              <w:t xml:space="preserve"> </w:t>
                            </w:r>
                            <w:r w:rsidR="00CA3FB2">
                              <w:rPr>
                                <w:rFonts w:ascii="TimesNewRomanPSMT" w:hAnsi="TimesNewRomanPSMT"/>
                              </w:rPr>
                              <w:t xml:space="preserve">events during the period </w:t>
                            </w:r>
                            <w:r>
                              <w:rPr>
                                <w:rFonts w:ascii="TimesNewRomanPSMT" w:hAnsi="TimesNewRomanPSMT"/>
                              </w:rPr>
                              <w:t>August</w:t>
                            </w:r>
                            <w:r w:rsidR="00CA3FB2">
                              <w:rPr>
                                <w:rFonts w:ascii="TimesNewRomanPSMT" w:hAnsi="TimesNewRomanPSMT"/>
                              </w:rPr>
                              <w:t xml:space="preserve"> 1</w:t>
                            </w:r>
                            <w:r>
                              <w:rPr>
                                <w:rFonts w:ascii="TimesNewRomanPSMT" w:hAnsi="TimesNewRomanPSMT"/>
                              </w:rPr>
                              <w:t>, 20</w:t>
                            </w:r>
                            <w:r w:rsidR="00F0597D">
                              <w:rPr>
                                <w:rFonts w:ascii="TimesNewRomanPSMT" w:hAnsi="TimesNewRomanPSMT"/>
                              </w:rPr>
                              <w:t>2</w:t>
                            </w:r>
                            <w:r w:rsidR="00AF20D7">
                              <w:rPr>
                                <w:rFonts w:ascii="TimesNewRomanPSMT" w:hAnsi="TimesNewRomanPSMT"/>
                              </w:rPr>
                              <w:t>1</w:t>
                            </w:r>
                            <w:r w:rsidR="00CA3FB2">
                              <w:rPr>
                                <w:rFonts w:ascii="TimesNewRomanPSMT" w:hAnsi="TimesNewRomanPSMT"/>
                              </w:rPr>
                              <w:t xml:space="preserve"> to </w:t>
                            </w:r>
                            <w:r>
                              <w:rPr>
                                <w:rFonts w:ascii="TimesNewRomanPSMT" w:hAnsi="TimesNewRomanPSMT"/>
                              </w:rPr>
                              <w:t>July</w:t>
                            </w:r>
                            <w:r w:rsidR="00CA3FB2">
                              <w:rPr>
                                <w:rFonts w:ascii="TimesNewRomanPSMT" w:hAnsi="TimesNewRomanPSMT"/>
                              </w:rPr>
                              <w:t xml:space="preserve"> 31, </w:t>
                            </w:r>
                            <w:r w:rsidR="00CA3FB2">
                              <w:rPr>
                                <w:rFonts w:ascii="TimesNewRomanPSMT" w:hAnsi="TimesNewRomanPSMT"/>
                              </w:rPr>
                              <w:t>20</w:t>
                            </w:r>
                            <w:r>
                              <w:rPr>
                                <w:rFonts w:ascii="TimesNewRomanPSMT" w:hAnsi="TimesNewRomanPSMT"/>
                              </w:rPr>
                              <w:t>2</w:t>
                            </w:r>
                            <w:r w:rsidR="00AF20D7">
                              <w:rPr>
                                <w:rFonts w:ascii="TimesNewRomanPSMT" w:hAnsi="TimesNewRomanPSMT"/>
                              </w:rPr>
                              <w:t>2</w:t>
                            </w:r>
                            <w:r w:rsidR="00CA3FB2">
                              <w:rPr>
                                <w:rFonts w:ascii="TimesNewRomanPSMT" w:hAnsi="TimesNewRomanPSMT"/>
                              </w:rPr>
                              <w:t xml:space="preserve">. </w:t>
                            </w:r>
                          </w:p>
                          <w:p w14:paraId="6B445020"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81EAB" id="Text Box 4" o:spid="_x0000_s1032" type="#_x0000_t202" style="position:absolute;margin-left:0;margin-top:82.65pt;width:465.4pt;height:156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" fillcolor="white [3201]" strokeweight=".5pt">
                <v:textbox>
                  <w:txbxContent>
                    <w:p w14:paraId="6AD36756" w14:textId="4A32DE26" w:rsidR="00CA3FB2" w:rsidRDefault="008F0234" w:rsidP="00CA3FB2">
                      <w:pPr>
                        <w:pStyle w:val="NormalWeb"/>
                      </w:pPr>
                      <w:r>
                        <w:rPr>
                          <w:rFonts w:ascii="TimesNewRomanPSMT" w:hAnsi="TimesNewRomanPSMT"/>
                        </w:rPr>
                        <w:t>Prior to the pandemic, n</w:t>
                      </w:r>
                      <w:r w:rsidR="00CA3FB2">
                        <w:rPr>
                          <w:rFonts w:ascii="TimesNewRomanPSMT" w:hAnsi="TimesNewRomanPSMT"/>
                        </w:rPr>
                        <w:t>on-curricular events, ranging from panel discussions, seminars, lectures, to art installations, musical performances, information sessions, film screenings, public announcements, recognition events and more, t</w:t>
                      </w:r>
                      <w:r>
                        <w:rPr>
                          <w:rFonts w:ascii="TimesNewRomanPSMT" w:hAnsi="TimesNewRomanPSMT"/>
                        </w:rPr>
                        <w:t>ook</w:t>
                      </w:r>
                      <w:r w:rsidR="00CA3FB2">
                        <w:rPr>
                          <w:rFonts w:ascii="TimesNewRomanPSMT" w:hAnsi="TimesNewRomanPSMT"/>
                        </w:rPr>
                        <w:t xml:space="preserve"> place on our campus on a daily basis. </w:t>
                      </w:r>
                      <w:r w:rsidR="00F0597D">
                        <w:rPr>
                          <w:rFonts w:ascii="TimesNewRomanPSMT" w:hAnsi="TimesNewRomanPSMT"/>
                        </w:rPr>
                        <w:t>Events have continued in the virtual environment wherever possible, but since</w:t>
                      </w:r>
                      <w:r w:rsidR="00CA3FB2">
                        <w:rPr>
                          <w:rFonts w:ascii="TimesNewRomanPSMT" w:hAnsi="TimesNewRomanPSMT"/>
                        </w:rPr>
                        <w:t xml:space="preserve"> </w:t>
                      </w:r>
                      <w:r w:rsidR="00F0597D">
                        <w:rPr>
                          <w:rFonts w:ascii="TimesNewRomanPSMT" w:hAnsi="TimesNewRomanPSMT"/>
                        </w:rPr>
                        <w:t xml:space="preserve">non-curricular </w:t>
                      </w:r>
                      <w:r w:rsidR="00CA3FB2">
                        <w:rPr>
                          <w:rFonts w:ascii="TimesNewRomanPSMT" w:hAnsi="TimesNewRomanPSMT"/>
                        </w:rPr>
                        <w:t xml:space="preserve">events are organized and promoted by Faculties, Departments, individuals and groups across the campus, there is no accurate way of estimating the </w:t>
                      </w:r>
                      <w:r w:rsidR="00F0597D">
                        <w:rPr>
                          <w:rFonts w:ascii="TimesNewRomanPSMT" w:hAnsi="TimesNewRomanPSMT"/>
                        </w:rPr>
                        <w:t xml:space="preserve">total </w:t>
                      </w:r>
                      <w:r w:rsidR="00CA3FB2">
                        <w:rPr>
                          <w:rFonts w:ascii="TimesNewRomanPSMT" w:hAnsi="TimesNewRomanPSMT"/>
                        </w:rPr>
                        <w:t xml:space="preserve">number </w:t>
                      </w:r>
                      <w:r w:rsidR="00F0597D">
                        <w:rPr>
                          <w:rFonts w:ascii="TimesNewRomanPSMT" w:hAnsi="TimesNewRomanPSMT"/>
                        </w:rPr>
                        <w:t>held in either the physical or virtual environment</w:t>
                      </w:r>
                      <w:r w:rsidR="00D04654">
                        <w:rPr>
                          <w:rFonts w:ascii="TimesNewRomanPSMT" w:hAnsi="TimesNewRomanPSMT"/>
                        </w:rPr>
                        <w:t>s</w:t>
                      </w:r>
                      <w:r w:rsidR="00F0597D">
                        <w:rPr>
                          <w:rFonts w:ascii="TimesNewRomanPSMT" w:hAnsi="TimesNewRomanPSMT"/>
                        </w:rPr>
                        <w:t xml:space="preserve">. </w:t>
                      </w:r>
                      <w:r w:rsidR="00F0597D">
                        <w:rPr>
                          <w:rFonts w:ascii="TimesNewRomanPSMT" w:hAnsi="TimesNewRomanPSMT"/>
                        </w:rPr>
                        <w:t>However, as</w:t>
                      </w:r>
                      <w:r w:rsidR="00CA3FB2">
                        <w:rPr>
                          <w:rFonts w:ascii="TimesNewRomanPSMT" w:hAnsi="TimesNewRomanPSMT"/>
                        </w:rPr>
                        <w:t xml:space="preserve"> an illustrative example, our Environmental and Occupational Health Support Services office, which has responsibility for reviewing and approving student events, approved </w:t>
                      </w:r>
                      <w:r w:rsidR="00AF20D7">
                        <w:rPr>
                          <w:rFonts w:ascii="TimesNewRomanPSMT" w:hAnsi="TimesNewRomanPSMT"/>
                        </w:rPr>
                        <w:t xml:space="preserve">more than 3,100 </w:t>
                      </w:r>
                      <w:r w:rsidR="00F0597D">
                        <w:rPr>
                          <w:rFonts w:ascii="TimesNewRomanPSMT" w:hAnsi="TimesNewRomanPSMT"/>
                        </w:rPr>
                        <w:t xml:space="preserve">virtual </w:t>
                      </w:r>
                      <w:r w:rsidR="00AF20D7">
                        <w:rPr>
                          <w:rFonts w:ascii="TimesNewRomanPSMT" w:hAnsi="TimesNewRomanPSMT"/>
                        </w:rPr>
                        <w:t>and physical</w:t>
                      </w:r>
                      <w:r w:rsidR="00F0597D">
                        <w:rPr>
                          <w:rFonts w:ascii="TimesNewRomanPSMT" w:hAnsi="TimesNewRomanPSMT"/>
                        </w:rPr>
                        <w:t xml:space="preserve"> </w:t>
                      </w:r>
                      <w:r w:rsidR="00CA3FB2">
                        <w:rPr>
                          <w:rFonts w:ascii="TimesNewRomanPSMT" w:hAnsi="TimesNewRomanPSMT"/>
                        </w:rPr>
                        <w:t xml:space="preserve">events during the period </w:t>
                      </w:r>
                      <w:r>
                        <w:rPr>
                          <w:rFonts w:ascii="TimesNewRomanPSMT" w:hAnsi="TimesNewRomanPSMT"/>
                        </w:rPr>
                        <w:t>August</w:t>
                      </w:r>
                      <w:r w:rsidR="00CA3FB2">
                        <w:rPr>
                          <w:rFonts w:ascii="TimesNewRomanPSMT" w:hAnsi="TimesNewRomanPSMT"/>
                        </w:rPr>
                        <w:t xml:space="preserve"> 1</w:t>
                      </w:r>
                      <w:r>
                        <w:rPr>
                          <w:rFonts w:ascii="TimesNewRomanPSMT" w:hAnsi="TimesNewRomanPSMT"/>
                        </w:rPr>
                        <w:t>, 20</w:t>
                      </w:r>
                      <w:r w:rsidR="00F0597D">
                        <w:rPr>
                          <w:rFonts w:ascii="TimesNewRomanPSMT" w:hAnsi="TimesNewRomanPSMT"/>
                        </w:rPr>
                        <w:t>2</w:t>
                      </w:r>
                      <w:r w:rsidR="00AF20D7">
                        <w:rPr>
                          <w:rFonts w:ascii="TimesNewRomanPSMT" w:hAnsi="TimesNewRomanPSMT"/>
                        </w:rPr>
                        <w:t>1</w:t>
                      </w:r>
                      <w:r w:rsidR="00CA3FB2">
                        <w:rPr>
                          <w:rFonts w:ascii="TimesNewRomanPSMT" w:hAnsi="TimesNewRomanPSMT"/>
                        </w:rPr>
                        <w:t xml:space="preserve"> to </w:t>
                      </w:r>
                      <w:r>
                        <w:rPr>
                          <w:rFonts w:ascii="TimesNewRomanPSMT" w:hAnsi="TimesNewRomanPSMT"/>
                        </w:rPr>
                        <w:t>July</w:t>
                      </w:r>
                      <w:r w:rsidR="00CA3FB2">
                        <w:rPr>
                          <w:rFonts w:ascii="TimesNewRomanPSMT" w:hAnsi="TimesNewRomanPSMT"/>
                        </w:rPr>
                        <w:t xml:space="preserve"> 31, </w:t>
                      </w:r>
                      <w:r w:rsidR="00CA3FB2">
                        <w:rPr>
                          <w:rFonts w:ascii="TimesNewRomanPSMT" w:hAnsi="TimesNewRomanPSMT"/>
                        </w:rPr>
                        <w:t>20</w:t>
                      </w:r>
                      <w:r>
                        <w:rPr>
                          <w:rFonts w:ascii="TimesNewRomanPSMT" w:hAnsi="TimesNewRomanPSMT"/>
                        </w:rPr>
                        <w:t>2</w:t>
                      </w:r>
                      <w:r w:rsidR="00AF20D7">
                        <w:rPr>
                          <w:rFonts w:ascii="TimesNewRomanPSMT" w:hAnsi="TimesNewRomanPSMT"/>
                        </w:rPr>
                        <w:t>2</w:t>
                      </w:r>
                      <w:r w:rsidR="00CA3FB2">
                        <w:rPr>
                          <w:rFonts w:ascii="TimesNewRomanPSMT" w:hAnsi="TimesNewRomanPSMT"/>
                        </w:rPr>
                        <w:t xml:space="preserve">. </w:t>
                      </w:r>
                    </w:p>
                    <w:p w14:paraId="6B445020" w14:textId="77777777" w:rsidR="00E40DBC" w:rsidRDefault="00E40DBC" w:rsidP="00E40DBC"/>
                  </w:txbxContent>
                </v:textbox>
                <w10:wrap type="topAndBottom" anchorx="margin"/>
              </v:shape>
            </w:pict>
          </mc:Fallback>
        </mc:AlternateContent>
      </w:r>
      <w:r w:rsidRPr="00A73409">
        <w:t xml:space="preserve">To the best of your ability, please provide an estimate of the number of </w:t>
      </w:r>
      <w:r w:rsidRPr="005B4376">
        <w:rPr>
          <w:b/>
        </w:rPr>
        <w:t>non-curricul</w:t>
      </w:r>
      <w:r>
        <w:rPr>
          <w:b/>
        </w:rPr>
        <w:t>ar</w:t>
      </w:r>
      <w:r w:rsidRPr="005B4376">
        <w:rPr>
          <w:b/>
        </w:rPr>
        <w:t xml:space="preserve"> events</w:t>
      </w:r>
      <w:r w:rsidRPr="00A73409">
        <w:t xml:space="preserve"> </w:t>
      </w:r>
      <w:r>
        <w:t>held</w:t>
      </w:r>
      <w:r w:rsidRPr="00A73409">
        <w:t xml:space="preserve"> at the institution </w:t>
      </w:r>
      <w:r>
        <w:t>between</w:t>
      </w:r>
      <w:r w:rsidRPr="00A73409">
        <w:t xml:space="preserve"> </w:t>
      </w:r>
      <w:r w:rsidRPr="00256A65">
        <w:rPr>
          <w:b/>
        </w:rPr>
        <w:t xml:space="preserve">August 1, </w:t>
      </w:r>
      <w:proofErr w:type="gramStart"/>
      <w:r w:rsidRPr="00256A65">
        <w:rPr>
          <w:b/>
        </w:rPr>
        <w:t>20</w:t>
      </w:r>
      <w:r w:rsidR="007B006B">
        <w:rPr>
          <w:b/>
        </w:rPr>
        <w:t>2</w:t>
      </w:r>
      <w:r w:rsidR="00314429">
        <w:rPr>
          <w:b/>
        </w:rPr>
        <w:t>1</w:t>
      </w:r>
      <w:proofErr w:type="gramEnd"/>
      <w:r w:rsidRPr="00256A65">
        <w:rPr>
          <w:b/>
        </w:rPr>
        <w:t xml:space="preserve"> and July 31, 20</w:t>
      </w:r>
      <w:r w:rsidR="007B006B">
        <w:rPr>
          <w:b/>
        </w:rPr>
        <w:t>2</w:t>
      </w:r>
      <w:r w:rsidR="00314429">
        <w:rPr>
          <w:b/>
        </w:rPr>
        <w:t>2</w:t>
      </w:r>
      <w:r>
        <w:t>.</w:t>
      </w:r>
      <w:r w:rsidRPr="00A73409">
        <w:t xml:space="preserve"> </w:t>
      </w:r>
      <w:r>
        <w:t>N</w:t>
      </w:r>
      <w:r w:rsidRPr="0084593A">
        <w:t>on-curricul</w:t>
      </w:r>
      <w:r>
        <w:t>ar</w:t>
      </w:r>
      <w:r w:rsidRPr="0084593A">
        <w:t xml:space="preserve"> events </w:t>
      </w:r>
      <w:r>
        <w:t>include, for example,</w:t>
      </w:r>
      <w:r w:rsidRPr="0084593A">
        <w:t xml:space="preserve"> invited speakers, sporting events, rallies, conferences, etc., as opposed to regular events held as part of an academic program</w:t>
      </w:r>
      <w:r>
        <w:t xml:space="preserve"> or course</w:t>
      </w:r>
      <w:r w:rsidRPr="0084593A">
        <w:t>.</w:t>
      </w:r>
      <w:r>
        <w:t xml:space="preserve"> </w:t>
      </w:r>
    </w:p>
    <w:p w14:paraId="1F9D24D6" w14:textId="77777777" w:rsidR="00E40DBC" w:rsidRDefault="00E40DBC" w:rsidP="00E40DBC">
      <w:pPr>
        <w:rPr>
          <w:noProof/>
        </w:rPr>
      </w:pPr>
    </w:p>
    <w:p w14:paraId="6A9ADDDC" w14:textId="77777777" w:rsidR="00E40DBC" w:rsidRDefault="00E40DBC" w:rsidP="00E40DBC">
      <w:r>
        <w:rPr>
          <w:noProof/>
          <w:lang w:eastAsia="en-CA"/>
        </w:rPr>
        <w:lastRenderedPageBreak/>
        <mc:AlternateContent>
          <mc:Choice Requires="wps">
            <w:drawing>
              <wp:anchor distT="0" distB="0" distL="114300" distR="114300" simplePos="0" relativeHeight="251675648" behindDoc="0" locked="0" layoutInCell="1" allowOverlap="1" wp14:anchorId="18DDA0EB" wp14:editId="142A4A82">
                <wp:simplePos x="0" y="0"/>
                <wp:positionH relativeFrom="margin">
                  <wp:align>left</wp:align>
                </wp:positionH>
                <wp:positionV relativeFrom="paragraph">
                  <wp:posOffset>283768</wp:posOffset>
                </wp:positionV>
                <wp:extent cx="5910580" cy="1358900"/>
                <wp:effectExtent l="0" t="0" r="7620" b="12700"/>
                <wp:wrapTopAndBottom/>
                <wp:docPr id="13" name="Text Box 13"/>
                <wp:cNvGraphicFramePr/>
                <a:graphic xmlns:a="http://schemas.openxmlformats.org/drawingml/2006/main">
                  <a:graphicData uri="http://schemas.microsoft.com/office/word/2010/wordprocessingShape">
                    <wps:wsp>
                      <wps:cNvSpPr txBox="1"/>
                      <wps:spPr>
                        <a:xfrm>
                          <a:off x="0" y="0"/>
                          <a:ext cx="5910580" cy="1358900"/>
                        </a:xfrm>
                        <a:prstGeom prst="rect">
                          <a:avLst/>
                        </a:prstGeom>
                        <a:solidFill>
                          <a:schemeClr val="lt1"/>
                        </a:solidFill>
                        <a:ln w="6350">
                          <a:solidFill>
                            <a:prstClr val="black"/>
                          </a:solidFill>
                        </a:ln>
                      </wps:spPr>
                      <wps:txbx>
                        <w:txbxContent>
                          <w:p w14:paraId="7D3761CA" w14:textId="5C0E9E6F" w:rsidR="00D648E0" w:rsidRDefault="00D648E0" w:rsidP="00D648E0">
                            <w:pPr>
                              <w:pStyle w:val="NormalWeb"/>
                            </w:pPr>
                            <w:r>
                              <w:rPr>
                                <w:rFonts w:ascii="TimesNewRomanPSMT" w:hAnsi="TimesNewRomanPSMT"/>
                              </w:rPr>
                              <w:t>The University has a long history of organizing, hosting</w:t>
                            </w:r>
                            <w:r w:rsidR="0002714E">
                              <w:rPr>
                                <w:rFonts w:ascii="TimesNewRomanPSMT" w:hAnsi="TimesNewRomanPSMT"/>
                              </w:rPr>
                              <w:t xml:space="preserve">, </w:t>
                            </w:r>
                            <w:r>
                              <w:rPr>
                                <w:rFonts w:ascii="TimesNewRomanPSMT" w:hAnsi="TimesNewRomanPSMT"/>
                              </w:rPr>
                              <w:t>and supporting a diverse range of events on our campus and this continued during 20</w:t>
                            </w:r>
                            <w:r w:rsidR="007B006B">
                              <w:rPr>
                                <w:rFonts w:ascii="TimesNewRomanPSMT" w:hAnsi="TimesNewRomanPSMT"/>
                              </w:rPr>
                              <w:t>2</w:t>
                            </w:r>
                            <w:r w:rsidR="00314429">
                              <w:rPr>
                                <w:rFonts w:ascii="TimesNewRomanPSMT" w:hAnsi="TimesNewRomanPSMT"/>
                              </w:rPr>
                              <w:t xml:space="preserve">1-22 </w:t>
                            </w:r>
                            <w:r w:rsidR="007B006B">
                              <w:rPr>
                                <w:rFonts w:ascii="TimesNewRomanPSMT" w:hAnsi="TimesNewRomanPSMT"/>
                              </w:rPr>
                              <w:t>in the virtual environment</w:t>
                            </w:r>
                            <w:r w:rsidR="00314429">
                              <w:rPr>
                                <w:rFonts w:ascii="TimesNewRomanPSMT" w:hAnsi="TimesNewRomanPSMT"/>
                              </w:rPr>
                              <w:t xml:space="preserve"> </w:t>
                            </w:r>
                            <w:proofErr w:type="gramStart"/>
                            <w:r w:rsidR="00314429">
                              <w:rPr>
                                <w:rFonts w:ascii="TimesNewRomanPSMT" w:hAnsi="TimesNewRomanPSMT"/>
                              </w:rPr>
                              <w:t>and also</w:t>
                            </w:r>
                            <w:proofErr w:type="gramEnd"/>
                            <w:r w:rsidR="00314429">
                              <w:rPr>
                                <w:rFonts w:ascii="TimesNewRomanPSMT" w:hAnsi="TimesNewRomanPSMT"/>
                              </w:rPr>
                              <w:t xml:space="preserve"> in the physical environment where possible as COVID-related restrictions began to ease</w:t>
                            </w:r>
                            <w:r>
                              <w:rPr>
                                <w:rFonts w:ascii="TimesNewRomanPSMT" w:hAnsi="TimesNewRomanPSMT"/>
                              </w:rPr>
                              <w:t>. Although there are no immediate plans to amend the current policy framework, McMaster is committed to mo</w:t>
                            </w:r>
                            <w:r w:rsidR="00F0597D">
                              <w:rPr>
                                <w:rFonts w:ascii="TimesNewRomanPSMT" w:hAnsi="TimesNewRomanPSMT"/>
                              </w:rPr>
                              <w:t>n</w:t>
                            </w:r>
                            <w:r>
                              <w:rPr>
                                <w:rFonts w:ascii="TimesNewRomanPSMT" w:hAnsi="TimesNewRomanPSMT"/>
                              </w:rPr>
                              <w:t xml:space="preserve">itoring the implementation and impact of the policies and processes currently in place and to making appropriate adjustments as needed to address any issues that arise. </w:t>
                            </w:r>
                          </w:p>
                          <w:p w14:paraId="36C2DC21"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DA0EB" id="Text Box 13" o:spid="_x0000_s1033" type="#_x0000_t202" style="position:absolute;margin-left:0;margin-top:22.35pt;width:465.4pt;height:107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" fillcolor="white [3201]" strokeweight=".5pt">
                <v:textbox>
                  <w:txbxContent>
                    <w:p w14:paraId="7D3761CA" w14:textId="5C0E9E6F" w:rsidR="00D648E0" w:rsidRDefault="00D648E0" w:rsidP="00D648E0">
                      <w:pPr>
                        <w:pStyle w:val="NormalWeb"/>
                      </w:pPr>
                      <w:r>
                        <w:rPr>
                          <w:rFonts w:ascii="TimesNewRomanPSMT" w:hAnsi="TimesNewRomanPSMT"/>
                        </w:rPr>
                        <w:t>The University has a long history of organizing, hosting</w:t>
                      </w:r>
                      <w:r w:rsidR="0002714E">
                        <w:rPr>
                          <w:rFonts w:ascii="TimesNewRomanPSMT" w:hAnsi="TimesNewRomanPSMT"/>
                        </w:rPr>
                        <w:t xml:space="preserve">, </w:t>
                      </w:r>
                      <w:r>
                        <w:rPr>
                          <w:rFonts w:ascii="TimesNewRomanPSMT" w:hAnsi="TimesNewRomanPSMT"/>
                        </w:rPr>
                        <w:t>and supporting a diverse range of events on our campus and this continued during 20</w:t>
                      </w:r>
                      <w:r w:rsidR="007B006B">
                        <w:rPr>
                          <w:rFonts w:ascii="TimesNewRomanPSMT" w:hAnsi="TimesNewRomanPSMT"/>
                        </w:rPr>
                        <w:t>2</w:t>
                      </w:r>
                      <w:r w:rsidR="00314429">
                        <w:rPr>
                          <w:rFonts w:ascii="TimesNewRomanPSMT" w:hAnsi="TimesNewRomanPSMT"/>
                        </w:rPr>
                        <w:t xml:space="preserve">1-22 </w:t>
                      </w:r>
                      <w:r w:rsidR="007B006B">
                        <w:rPr>
                          <w:rFonts w:ascii="TimesNewRomanPSMT" w:hAnsi="TimesNewRomanPSMT"/>
                        </w:rPr>
                        <w:t>in the virtual environment</w:t>
                      </w:r>
                      <w:r w:rsidR="00314429">
                        <w:rPr>
                          <w:rFonts w:ascii="TimesNewRomanPSMT" w:hAnsi="TimesNewRomanPSMT"/>
                        </w:rPr>
                        <w:t xml:space="preserve"> </w:t>
                      </w:r>
                      <w:proofErr w:type="gramStart"/>
                      <w:r w:rsidR="00314429">
                        <w:rPr>
                          <w:rFonts w:ascii="TimesNewRomanPSMT" w:hAnsi="TimesNewRomanPSMT"/>
                        </w:rPr>
                        <w:t>and also</w:t>
                      </w:r>
                      <w:proofErr w:type="gramEnd"/>
                      <w:r w:rsidR="00314429">
                        <w:rPr>
                          <w:rFonts w:ascii="TimesNewRomanPSMT" w:hAnsi="TimesNewRomanPSMT"/>
                        </w:rPr>
                        <w:t xml:space="preserve"> in the physical environment where possible as COVID-related restrictions began to ease</w:t>
                      </w:r>
                      <w:r>
                        <w:rPr>
                          <w:rFonts w:ascii="TimesNewRomanPSMT" w:hAnsi="TimesNewRomanPSMT"/>
                        </w:rPr>
                        <w:t>. Although there are no immediate plans to amend the current policy framework, McMaster is committed to mo</w:t>
                      </w:r>
                      <w:r w:rsidR="00F0597D">
                        <w:rPr>
                          <w:rFonts w:ascii="TimesNewRomanPSMT" w:hAnsi="TimesNewRomanPSMT"/>
                        </w:rPr>
                        <w:t>n</w:t>
                      </w:r>
                      <w:r>
                        <w:rPr>
                          <w:rFonts w:ascii="TimesNewRomanPSMT" w:hAnsi="TimesNewRomanPSMT"/>
                        </w:rPr>
                        <w:t xml:space="preserve">itoring the implementation and impact of the policies and processes currently in place and to making appropriate adjustments as needed to address any issues that arise. </w:t>
                      </w:r>
                    </w:p>
                    <w:p w14:paraId="36C2DC21" w14:textId="77777777" w:rsidR="00E40DBC" w:rsidRDefault="00E40DBC" w:rsidP="00E40DBC"/>
                  </w:txbxContent>
                </v:textbox>
                <w10:wrap type="topAndBottom" anchorx="margin"/>
              </v:shape>
            </w:pict>
          </mc:Fallback>
        </mc:AlternateContent>
      </w:r>
      <w:r>
        <w:rPr>
          <w:noProof/>
        </w:rPr>
        <w:t>Institutional</w:t>
      </w:r>
      <w:r>
        <w:t xml:space="preserve"> Comments (if any). </w:t>
      </w:r>
    </w:p>
    <w:p w14:paraId="523E42FF" w14:textId="77777777" w:rsidR="00E40DBC" w:rsidRDefault="00E40DBC" w:rsidP="00E40DBC"/>
    <w:p w14:paraId="1919C9A5" w14:textId="77777777" w:rsidR="00E40DBC" w:rsidRDefault="00E40DBC" w:rsidP="00DE528B">
      <w:pPr>
        <w:jc w:val="center"/>
        <w:rPr>
          <w:b/>
        </w:rPr>
      </w:pPr>
    </w:p>
    <w:sectPr w:rsidR="00E40DBC" w:rsidSect="00176316">
      <w:headerReference w:type="even" r:id="rId14"/>
      <w:headerReference w:type="default" r:id="rId15"/>
      <w:footerReference w:type="even" r:id="rId16"/>
      <w:footerReference w:type="default" r:id="rId17"/>
      <w:headerReference w:type="first" r:id="rId18"/>
      <w:footerReference w:type="first" r:id="rId19"/>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F96E" w14:textId="77777777" w:rsidR="00470610" w:rsidRDefault="00470610" w:rsidP="00F72078">
      <w:pPr>
        <w:spacing w:after="0" w:line="240" w:lineRule="auto"/>
      </w:pPr>
      <w:r>
        <w:separator/>
      </w:r>
    </w:p>
  </w:endnote>
  <w:endnote w:type="continuationSeparator" w:id="0">
    <w:p w14:paraId="7691DC9F" w14:textId="77777777" w:rsidR="00470610" w:rsidRDefault="00470610"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608E" w14:textId="77777777" w:rsidR="00093626" w:rsidRDefault="00093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07050"/>
      <w:docPartObj>
        <w:docPartGallery w:val="Page Numbers (Bottom of Page)"/>
        <w:docPartUnique/>
      </w:docPartObj>
    </w:sdtPr>
    <w:sdtEndPr>
      <w:rPr>
        <w:noProof/>
      </w:rPr>
    </w:sdtEndPr>
    <w:sdtContent>
      <w:p w14:paraId="35C63783" w14:textId="601D6EFE" w:rsidR="0053198E" w:rsidRDefault="005319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7A9AE"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B8B" w14:textId="77777777" w:rsidR="00093626" w:rsidRDefault="000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22A7" w14:textId="77777777" w:rsidR="00470610" w:rsidRDefault="00470610" w:rsidP="00F72078">
      <w:pPr>
        <w:spacing w:after="0" w:line="240" w:lineRule="auto"/>
      </w:pPr>
      <w:r>
        <w:separator/>
      </w:r>
    </w:p>
  </w:footnote>
  <w:footnote w:type="continuationSeparator" w:id="0">
    <w:p w14:paraId="70E0AEBB" w14:textId="77777777" w:rsidR="00470610" w:rsidRDefault="00470610"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356" w14:textId="77777777" w:rsidR="00093626" w:rsidRDefault="0009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1AD" w14:textId="77777777" w:rsidR="00093626" w:rsidRDefault="00093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03C1" w14:textId="77777777" w:rsidR="00093626" w:rsidRDefault="0009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924"/>
    <w:multiLevelType w:val="hybridMultilevel"/>
    <w:tmpl w:val="40A4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420D0"/>
    <w:multiLevelType w:val="hybridMultilevel"/>
    <w:tmpl w:val="1CE01254"/>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3463D"/>
    <w:multiLevelType w:val="hybridMultilevel"/>
    <w:tmpl w:val="CAF22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7F1465"/>
    <w:multiLevelType w:val="hybridMultilevel"/>
    <w:tmpl w:val="4D820D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F4EA3"/>
    <w:multiLevelType w:val="hybridMultilevel"/>
    <w:tmpl w:val="C7A0C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3A3992"/>
    <w:multiLevelType w:val="hybridMultilevel"/>
    <w:tmpl w:val="CE7AA8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C5E76EE"/>
    <w:multiLevelType w:val="hybridMultilevel"/>
    <w:tmpl w:val="C5F62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0A1774"/>
    <w:multiLevelType w:val="hybridMultilevel"/>
    <w:tmpl w:val="A4C0F15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C24507"/>
    <w:multiLevelType w:val="hybridMultilevel"/>
    <w:tmpl w:val="9E8C0DD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A5B28"/>
    <w:multiLevelType w:val="hybridMultilevel"/>
    <w:tmpl w:val="90DA9FEC"/>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532C8D"/>
    <w:multiLevelType w:val="hybridMultilevel"/>
    <w:tmpl w:val="BF5499D8"/>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65787F"/>
    <w:multiLevelType w:val="hybridMultilevel"/>
    <w:tmpl w:val="EED879B0"/>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CA6ABE"/>
    <w:multiLevelType w:val="hybridMultilevel"/>
    <w:tmpl w:val="6FDCA8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10716D"/>
    <w:multiLevelType w:val="hybridMultilevel"/>
    <w:tmpl w:val="9D34428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7E97"/>
    <w:multiLevelType w:val="hybridMultilevel"/>
    <w:tmpl w:val="AF84D6B8"/>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E1A"/>
    <w:multiLevelType w:val="hybridMultilevel"/>
    <w:tmpl w:val="1F36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423E27"/>
    <w:multiLevelType w:val="hybridMultilevel"/>
    <w:tmpl w:val="1FDE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DF6250"/>
    <w:multiLevelType w:val="hybridMultilevel"/>
    <w:tmpl w:val="CEF669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C70052"/>
    <w:multiLevelType w:val="hybridMultilevel"/>
    <w:tmpl w:val="F28C93C2"/>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6B4D08"/>
    <w:multiLevelType w:val="hybridMultilevel"/>
    <w:tmpl w:val="ED989C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1202AC"/>
    <w:multiLevelType w:val="hybridMultilevel"/>
    <w:tmpl w:val="BD12F3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B0608EC"/>
    <w:multiLevelType w:val="hybridMultilevel"/>
    <w:tmpl w:val="0B727B0E"/>
    <w:lvl w:ilvl="0" w:tplc="B55C0D7A">
      <w:start w:val="1"/>
      <w:numFmt w:val="decimal"/>
      <w:lvlText w:val="%1."/>
      <w:lvlJc w:val="left"/>
      <w:pPr>
        <w:ind w:left="720" w:hanging="360"/>
      </w:pPr>
      <w:rPr>
        <w:rFonts w:hint="default"/>
      </w:rPr>
    </w:lvl>
    <w:lvl w:ilvl="1" w:tplc="71FC5338">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224886"/>
    <w:multiLevelType w:val="hybridMultilevel"/>
    <w:tmpl w:val="BCE08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F51BD"/>
    <w:multiLevelType w:val="hybridMultilevel"/>
    <w:tmpl w:val="1F6499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9C0CDD"/>
    <w:multiLevelType w:val="hybridMultilevel"/>
    <w:tmpl w:val="5A4EE5F4"/>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2220165">
    <w:abstractNumId w:val="14"/>
  </w:num>
  <w:num w:numId="2" w16cid:durableId="1994523765">
    <w:abstractNumId w:val="22"/>
  </w:num>
  <w:num w:numId="3" w16cid:durableId="1908807463">
    <w:abstractNumId w:val="3"/>
  </w:num>
  <w:num w:numId="4" w16cid:durableId="1650356417">
    <w:abstractNumId w:val="9"/>
  </w:num>
  <w:num w:numId="5" w16cid:durableId="606078419">
    <w:abstractNumId w:val="18"/>
  </w:num>
  <w:num w:numId="6" w16cid:durableId="1660768538">
    <w:abstractNumId w:val="1"/>
  </w:num>
  <w:num w:numId="7" w16cid:durableId="360129484">
    <w:abstractNumId w:val="5"/>
  </w:num>
  <w:num w:numId="8" w16cid:durableId="1604726266">
    <w:abstractNumId w:val="24"/>
  </w:num>
  <w:num w:numId="9" w16cid:durableId="979187190">
    <w:abstractNumId w:val="7"/>
  </w:num>
  <w:num w:numId="10" w16cid:durableId="467206504">
    <w:abstractNumId w:val="21"/>
  </w:num>
  <w:num w:numId="11" w16cid:durableId="1577015537">
    <w:abstractNumId w:val="11"/>
  </w:num>
  <w:num w:numId="12" w16cid:durableId="182593636">
    <w:abstractNumId w:val="17"/>
  </w:num>
  <w:num w:numId="13" w16cid:durableId="158037038">
    <w:abstractNumId w:val="12"/>
  </w:num>
  <w:num w:numId="14" w16cid:durableId="249657435">
    <w:abstractNumId w:val="8"/>
  </w:num>
  <w:num w:numId="15" w16cid:durableId="1216508881">
    <w:abstractNumId w:val="10"/>
  </w:num>
  <w:num w:numId="16" w16cid:durableId="922568957">
    <w:abstractNumId w:val="4"/>
  </w:num>
  <w:num w:numId="17" w16cid:durableId="2076390899">
    <w:abstractNumId w:val="20"/>
  </w:num>
  <w:num w:numId="18" w16cid:durableId="2088527022">
    <w:abstractNumId w:val="23"/>
  </w:num>
  <w:num w:numId="19" w16cid:durableId="2020546248">
    <w:abstractNumId w:val="2"/>
  </w:num>
  <w:num w:numId="20" w16cid:durableId="2128499795">
    <w:abstractNumId w:val="19"/>
  </w:num>
  <w:num w:numId="21" w16cid:durableId="1155494190">
    <w:abstractNumId w:val="6"/>
  </w:num>
  <w:num w:numId="22" w16cid:durableId="328946107">
    <w:abstractNumId w:val="0"/>
  </w:num>
  <w:num w:numId="23" w16cid:durableId="867912569">
    <w:abstractNumId w:val="13"/>
  </w:num>
  <w:num w:numId="24" w16cid:durableId="2047440183">
    <w:abstractNumId w:val="16"/>
  </w:num>
  <w:num w:numId="25" w16cid:durableId="12036380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22E573-269E-454C-8985-9CD82FEC899A}"/>
    <w:docVar w:name="dgnword-eventsink" w:val="742260448"/>
  </w:docVars>
  <w:rsids>
    <w:rsidRoot w:val="00176316"/>
    <w:rsid w:val="000057A7"/>
    <w:rsid w:val="00005B70"/>
    <w:rsid w:val="000074B0"/>
    <w:rsid w:val="000139E7"/>
    <w:rsid w:val="00023F22"/>
    <w:rsid w:val="0002714E"/>
    <w:rsid w:val="00030DC5"/>
    <w:rsid w:val="000373E4"/>
    <w:rsid w:val="000407A2"/>
    <w:rsid w:val="000467EB"/>
    <w:rsid w:val="00050728"/>
    <w:rsid w:val="00051DE3"/>
    <w:rsid w:val="000619F1"/>
    <w:rsid w:val="00063339"/>
    <w:rsid w:val="00071EB5"/>
    <w:rsid w:val="00074898"/>
    <w:rsid w:val="00082BCD"/>
    <w:rsid w:val="00083868"/>
    <w:rsid w:val="00087B60"/>
    <w:rsid w:val="00087D60"/>
    <w:rsid w:val="00093626"/>
    <w:rsid w:val="00095423"/>
    <w:rsid w:val="000A0119"/>
    <w:rsid w:val="000A7269"/>
    <w:rsid w:val="000B5AF8"/>
    <w:rsid w:val="000C0ECF"/>
    <w:rsid w:val="000C1B3F"/>
    <w:rsid w:val="000C3D62"/>
    <w:rsid w:val="000C42CF"/>
    <w:rsid w:val="000C55FF"/>
    <w:rsid w:val="000C5CDA"/>
    <w:rsid w:val="000D1EFB"/>
    <w:rsid w:val="000D36B4"/>
    <w:rsid w:val="000E106A"/>
    <w:rsid w:val="000E2B56"/>
    <w:rsid w:val="000E4442"/>
    <w:rsid w:val="000E5FA7"/>
    <w:rsid w:val="000E7CCC"/>
    <w:rsid w:val="000F5981"/>
    <w:rsid w:val="00125494"/>
    <w:rsid w:val="00125DC4"/>
    <w:rsid w:val="00130530"/>
    <w:rsid w:val="00133623"/>
    <w:rsid w:val="00135FA4"/>
    <w:rsid w:val="0014457E"/>
    <w:rsid w:val="001458F5"/>
    <w:rsid w:val="00160C35"/>
    <w:rsid w:val="001619F0"/>
    <w:rsid w:val="001668B9"/>
    <w:rsid w:val="0016696B"/>
    <w:rsid w:val="00171D61"/>
    <w:rsid w:val="00172343"/>
    <w:rsid w:val="00175E86"/>
    <w:rsid w:val="00176316"/>
    <w:rsid w:val="00176C34"/>
    <w:rsid w:val="00177337"/>
    <w:rsid w:val="0018231C"/>
    <w:rsid w:val="00184CCD"/>
    <w:rsid w:val="001859A8"/>
    <w:rsid w:val="0018703B"/>
    <w:rsid w:val="0018719E"/>
    <w:rsid w:val="001930E9"/>
    <w:rsid w:val="001950AC"/>
    <w:rsid w:val="00196F20"/>
    <w:rsid w:val="001A1357"/>
    <w:rsid w:val="001A5F77"/>
    <w:rsid w:val="001B29C1"/>
    <w:rsid w:val="001B7900"/>
    <w:rsid w:val="001C37B4"/>
    <w:rsid w:val="001C3B42"/>
    <w:rsid w:val="001D2696"/>
    <w:rsid w:val="001D4560"/>
    <w:rsid w:val="001D726C"/>
    <w:rsid w:val="001E794A"/>
    <w:rsid w:val="001F129E"/>
    <w:rsid w:val="001F75CD"/>
    <w:rsid w:val="00206359"/>
    <w:rsid w:val="00211C5C"/>
    <w:rsid w:val="00217DB0"/>
    <w:rsid w:val="00221C20"/>
    <w:rsid w:val="00224B3E"/>
    <w:rsid w:val="00225BE4"/>
    <w:rsid w:val="00226E57"/>
    <w:rsid w:val="0023669C"/>
    <w:rsid w:val="00237EFC"/>
    <w:rsid w:val="0024369F"/>
    <w:rsid w:val="00254430"/>
    <w:rsid w:val="002556FE"/>
    <w:rsid w:val="002566C2"/>
    <w:rsid w:val="002807C6"/>
    <w:rsid w:val="00295676"/>
    <w:rsid w:val="0029678C"/>
    <w:rsid w:val="00297EA9"/>
    <w:rsid w:val="002A0261"/>
    <w:rsid w:val="002C497F"/>
    <w:rsid w:val="002D6D38"/>
    <w:rsid w:val="002E0BD0"/>
    <w:rsid w:val="002E5782"/>
    <w:rsid w:val="002E6FF6"/>
    <w:rsid w:val="002F5FDE"/>
    <w:rsid w:val="002F7D90"/>
    <w:rsid w:val="00310F8A"/>
    <w:rsid w:val="00314429"/>
    <w:rsid w:val="00314EC8"/>
    <w:rsid w:val="0031755F"/>
    <w:rsid w:val="00317F1F"/>
    <w:rsid w:val="0033476C"/>
    <w:rsid w:val="00343B63"/>
    <w:rsid w:val="00343E1C"/>
    <w:rsid w:val="0036413B"/>
    <w:rsid w:val="00367984"/>
    <w:rsid w:val="00367F23"/>
    <w:rsid w:val="00373A84"/>
    <w:rsid w:val="00377B91"/>
    <w:rsid w:val="0038586B"/>
    <w:rsid w:val="00386BAE"/>
    <w:rsid w:val="00387C19"/>
    <w:rsid w:val="003968F5"/>
    <w:rsid w:val="003A0F18"/>
    <w:rsid w:val="003A1051"/>
    <w:rsid w:val="003A7724"/>
    <w:rsid w:val="003B0488"/>
    <w:rsid w:val="003B4F74"/>
    <w:rsid w:val="003B61F3"/>
    <w:rsid w:val="003B6788"/>
    <w:rsid w:val="003C68B1"/>
    <w:rsid w:val="003D785F"/>
    <w:rsid w:val="003E1622"/>
    <w:rsid w:val="003E25C6"/>
    <w:rsid w:val="003E62CB"/>
    <w:rsid w:val="003E67C4"/>
    <w:rsid w:val="00404C1A"/>
    <w:rsid w:val="0041792F"/>
    <w:rsid w:val="004205C9"/>
    <w:rsid w:val="004209AD"/>
    <w:rsid w:val="00422C61"/>
    <w:rsid w:val="00426043"/>
    <w:rsid w:val="004313CD"/>
    <w:rsid w:val="00436330"/>
    <w:rsid w:val="00444342"/>
    <w:rsid w:val="00446CDD"/>
    <w:rsid w:val="004519C9"/>
    <w:rsid w:val="00454212"/>
    <w:rsid w:val="00454274"/>
    <w:rsid w:val="0045781B"/>
    <w:rsid w:val="004621E4"/>
    <w:rsid w:val="00463F71"/>
    <w:rsid w:val="00466C15"/>
    <w:rsid w:val="00470610"/>
    <w:rsid w:val="0047538E"/>
    <w:rsid w:val="00475BD8"/>
    <w:rsid w:val="0048267A"/>
    <w:rsid w:val="00487378"/>
    <w:rsid w:val="0049600F"/>
    <w:rsid w:val="004A2238"/>
    <w:rsid w:val="004A34F2"/>
    <w:rsid w:val="004A392D"/>
    <w:rsid w:val="004A5C41"/>
    <w:rsid w:val="004A6EF7"/>
    <w:rsid w:val="004A7931"/>
    <w:rsid w:val="004B02B0"/>
    <w:rsid w:val="004B2A40"/>
    <w:rsid w:val="004B347D"/>
    <w:rsid w:val="004B467C"/>
    <w:rsid w:val="004B6833"/>
    <w:rsid w:val="004B69F7"/>
    <w:rsid w:val="004C2A21"/>
    <w:rsid w:val="004C7DC8"/>
    <w:rsid w:val="004D4721"/>
    <w:rsid w:val="004D5667"/>
    <w:rsid w:val="004E051E"/>
    <w:rsid w:val="004E125C"/>
    <w:rsid w:val="004E27EB"/>
    <w:rsid w:val="004F1B03"/>
    <w:rsid w:val="004F20C3"/>
    <w:rsid w:val="004F2AF2"/>
    <w:rsid w:val="004F2FEA"/>
    <w:rsid w:val="004F44FF"/>
    <w:rsid w:val="005038AC"/>
    <w:rsid w:val="0053198E"/>
    <w:rsid w:val="005438CC"/>
    <w:rsid w:val="0054468B"/>
    <w:rsid w:val="005560F6"/>
    <w:rsid w:val="005635B5"/>
    <w:rsid w:val="00574567"/>
    <w:rsid w:val="00574AF9"/>
    <w:rsid w:val="00576FFD"/>
    <w:rsid w:val="0057735C"/>
    <w:rsid w:val="00591557"/>
    <w:rsid w:val="005918E4"/>
    <w:rsid w:val="00594C55"/>
    <w:rsid w:val="0059505A"/>
    <w:rsid w:val="005B4E9F"/>
    <w:rsid w:val="005B7B46"/>
    <w:rsid w:val="005C0117"/>
    <w:rsid w:val="005C0ACA"/>
    <w:rsid w:val="005C0EB1"/>
    <w:rsid w:val="005C3183"/>
    <w:rsid w:val="005C7E99"/>
    <w:rsid w:val="005D42C9"/>
    <w:rsid w:val="005D514B"/>
    <w:rsid w:val="005F1DB8"/>
    <w:rsid w:val="005F3222"/>
    <w:rsid w:val="005F3D86"/>
    <w:rsid w:val="00613B0F"/>
    <w:rsid w:val="0062057D"/>
    <w:rsid w:val="00624B02"/>
    <w:rsid w:val="00625E62"/>
    <w:rsid w:val="00626D43"/>
    <w:rsid w:val="0064207C"/>
    <w:rsid w:val="0064283F"/>
    <w:rsid w:val="006567A5"/>
    <w:rsid w:val="00657E61"/>
    <w:rsid w:val="006704CB"/>
    <w:rsid w:val="00677A85"/>
    <w:rsid w:val="0068265F"/>
    <w:rsid w:val="006853B7"/>
    <w:rsid w:val="00690B9E"/>
    <w:rsid w:val="00695E04"/>
    <w:rsid w:val="006B45FA"/>
    <w:rsid w:val="006B502A"/>
    <w:rsid w:val="006C6A5E"/>
    <w:rsid w:val="006C7751"/>
    <w:rsid w:val="006D0CD7"/>
    <w:rsid w:val="006D72AA"/>
    <w:rsid w:val="006E6FCB"/>
    <w:rsid w:val="007014CF"/>
    <w:rsid w:val="00704BC9"/>
    <w:rsid w:val="0072574F"/>
    <w:rsid w:val="007317D2"/>
    <w:rsid w:val="00733E3C"/>
    <w:rsid w:val="007515A0"/>
    <w:rsid w:val="00754DA8"/>
    <w:rsid w:val="00755E4A"/>
    <w:rsid w:val="0076205A"/>
    <w:rsid w:val="00767151"/>
    <w:rsid w:val="007707B1"/>
    <w:rsid w:val="007730D3"/>
    <w:rsid w:val="0077675C"/>
    <w:rsid w:val="007879C8"/>
    <w:rsid w:val="00787C16"/>
    <w:rsid w:val="0079315D"/>
    <w:rsid w:val="00794C32"/>
    <w:rsid w:val="00795BBA"/>
    <w:rsid w:val="0079658F"/>
    <w:rsid w:val="007B006B"/>
    <w:rsid w:val="007B4322"/>
    <w:rsid w:val="007C3C6A"/>
    <w:rsid w:val="007C6DF5"/>
    <w:rsid w:val="007D6DDD"/>
    <w:rsid w:val="007E3FE1"/>
    <w:rsid w:val="007E61EB"/>
    <w:rsid w:val="007F2DCF"/>
    <w:rsid w:val="0080007A"/>
    <w:rsid w:val="00801987"/>
    <w:rsid w:val="008037B1"/>
    <w:rsid w:val="00811CE9"/>
    <w:rsid w:val="00813427"/>
    <w:rsid w:val="008134F1"/>
    <w:rsid w:val="008209D6"/>
    <w:rsid w:val="00842161"/>
    <w:rsid w:val="00854ECE"/>
    <w:rsid w:val="00857C4D"/>
    <w:rsid w:val="008A0D81"/>
    <w:rsid w:val="008A2729"/>
    <w:rsid w:val="008A6EA7"/>
    <w:rsid w:val="008A7A27"/>
    <w:rsid w:val="008C10F5"/>
    <w:rsid w:val="008C15F6"/>
    <w:rsid w:val="008C39BA"/>
    <w:rsid w:val="008C3FF2"/>
    <w:rsid w:val="008C6B37"/>
    <w:rsid w:val="008E2E9F"/>
    <w:rsid w:val="008E417F"/>
    <w:rsid w:val="008E6B65"/>
    <w:rsid w:val="008F0234"/>
    <w:rsid w:val="008F7F80"/>
    <w:rsid w:val="00907690"/>
    <w:rsid w:val="0092259D"/>
    <w:rsid w:val="00923512"/>
    <w:rsid w:val="009236CF"/>
    <w:rsid w:val="00927121"/>
    <w:rsid w:val="00940441"/>
    <w:rsid w:val="00946C7B"/>
    <w:rsid w:val="00952CE0"/>
    <w:rsid w:val="00953FCE"/>
    <w:rsid w:val="009644D5"/>
    <w:rsid w:val="0096462E"/>
    <w:rsid w:val="00966BBF"/>
    <w:rsid w:val="00967B2D"/>
    <w:rsid w:val="00970FAE"/>
    <w:rsid w:val="00973EE5"/>
    <w:rsid w:val="00975D5A"/>
    <w:rsid w:val="009862C7"/>
    <w:rsid w:val="00987692"/>
    <w:rsid w:val="00994B9E"/>
    <w:rsid w:val="009968EB"/>
    <w:rsid w:val="009A0251"/>
    <w:rsid w:val="009A2EB6"/>
    <w:rsid w:val="009A624C"/>
    <w:rsid w:val="009B0144"/>
    <w:rsid w:val="009B1D63"/>
    <w:rsid w:val="009B1FA5"/>
    <w:rsid w:val="009B6073"/>
    <w:rsid w:val="009B65DE"/>
    <w:rsid w:val="009C25D6"/>
    <w:rsid w:val="009C3A9F"/>
    <w:rsid w:val="009C5E68"/>
    <w:rsid w:val="009D4084"/>
    <w:rsid w:val="009D71FC"/>
    <w:rsid w:val="009E3AD8"/>
    <w:rsid w:val="009E6052"/>
    <w:rsid w:val="009E6DED"/>
    <w:rsid w:val="00A1307B"/>
    <w:rsid w:val="00A13F46"/>
    <w:rsid w:val="00A14CFD"/>
    <w:rsid w:val="00A173C2"/>
    <w:rsid w:val="00A2350E"/>
    <w:rsid w:val="00A26FDC"/>
    <w:rsid w:val="00A43ACC"/>
    <w:rsid w:val="00A4736E"/>
    <w:rsid w:val="00A520AD"/>
    <w:rsid w:val="00A528B3"/>
    <w:rsid w:val="00A5621F"/>
    <w:rsid w:val="00A604C7"/>
    <w:rsid w:val="00A62898"/>
    <w:rsid w:val="00A628B8"/>
    <w:rsid w:val="00A67987"/>
    <w:rsid w:val="00A70CE3"/>
    <w:rsid w:val="00A730B4"/>
    <w:rsid w:val="00A75CAC"/>
    <w:rsid w:val="00A80656"/>
    <w:rsid w:val="00A83524"/>
    <w:rsid w:val="00A8745B"/>
    <w:rsid w:val="00A963FC"/>
    <w:rsid w:val="00AB2A18"/>
    <w:rsid w:val="00AB5C67"/>
    <w:rsid w:val="00AB5E14"/>
    <w:rsid w:val="00AB6B74"/>
    <w:rsid w:val="00AC0873"/>
    <w:rsid w:val="00AC3704"/>
    <w:rsid w:val="00AC372A"/>
    <w:rsid w:val="00AC40E2"/>
    <w:rsid w:val="00AC6671"/>
    <w:rsid w:val="00AC7A10"/>
    <w:rsid w:val="00AD71CE"/>
    <w:rsid w:val="00AE13B1"/>
    <w:rsid w:val="00AE5557"/>
    <w:rsid w:val="00AF20D7"/>
    <w:rsid w:val="00AF3E7A"/>
    <w:rsid w:val="00AF7D7C"/>
    <w:rsid w:val="00B00457"/>
    <w:rsid w:val="00B00F5B"/>
    <w:rsid w:val="00B06347"/>
    <w:rsid w:val="00B06416"/>
    <w:rsid w:val="00B07124"/>
    <w:rsid w:val="00B07A08"/>
    <w:rsid w:val="00B127C6"/>
    <w:rsid w:val="00B130C3"/>
    <w:rsid w:val="00B14F41"/>
    <w:rsid w:val="00B22C20"/>
    <w:rsid w:val="00B3240D"/>
    <w:rsid w:val="00B40E6B"/>
    <w:rsid w:val="00B44947"/>
    <w:rsid w:val="00B93223"/>
    <w:rsid w:val="00BA3B2B"/>
    <w:rsid w:val="00BC0009"/>
    <w:rsid w:val="00BC2DB1"/>
    <w:rsid w:val="00BC329D"/>
    <w:rsid w:val="00BD08AB"/>
    <w:rsid w:val="00BD5BDE"/>
    <w:rsid w:val="00BE1DDC"/>
    <w:rsid w:val="00C029AC"/>
    <w:rsid w:val="00C13EBA"/>
    <w:rsid w:val="00C17D17"/>
    <w:rsid w:val="00C23ABF"/>
    <w:rsid w:val="00C30275"/>
    <w:rsid w:val="00C321BA"/>
    <w:rsid w:val="00C418B4"/>
    <w:rsid w:val="00C43C11"/>
    <w:rsid w:val="00C442F5"/>
    <w:rsid w:val="00C47BB1"/>
    <w:rsid w:val="00C50D68"/>
    <w:rsid w:val="00C53231"/>
    <w:rsid w:val="00C56D83"/>
    <w:rsid w:val="00C65962"/>
    <w:rsid w:val="00C83483"/>
    <w:rsid w:val="00C849ED"/>
    <w:rsid w:val="00C8694D"/>
    <w:rsid w:val="00C91327"/>
    <w:rsid w:val="00C91A4F"/>
    <w:rsid w:val="00C93AB7"/>
    <w:rsid w:val="00CA3FB2"/>
    <w:rsid w:val="00CA4521"/>
    <w:rsid w:val="00CA48D9"/>
    <w:rsid w:val="00CA5D29"/>
    <w:rsid w:val="00CA648B"/>
    <w:rsid w:val="00CA6D00"/>
    <w:rsid w:val="00CB306C"/>
    <w:rsid w:val="00CB3818"/>
    <w:rsid w:val="00CB3C7A"/>
    <w:rsid w:val="00CB5BE9"/>
    <w:rsid w:val="00CC034D"/>
    <w:rsid w:val="00CC442E"/>
    <w:rsid w:val="00CD248D"/>
    <w:rsid w:val="00CD2B7A"/>
    <w:rsid w:val="00CD3E8A"/>
    <w:rsid w:val="00CD582E"/>
    <w:rsid w:val="00CE087E"/>
    <w:rsid w:val="00CE5FC9"/>
    <w:rsid w:val="00CF5602"/>
    <w:rsid w:val="00CF6DDB"/>
    <w:rsid w:val="00D00DEC"/>
    <w:rsid w:val="00D04148"/>
    <w:rsid w:val="00D04654"/>
    <w:rsid w:val="00D04E5F"/>
    <w:rsid w:val="00D04EF6"/>
    <w:rsid w:val="00D07EFB"/>
    <w:rsid w:val="00D143C3"/>
    <w:rsid w:val="00D16D87"/>
    <w:rsid w:val="00D30B1D"/>
    <w:rsid w:val="00D31220"/>
    <w:rsid w:val="00D36DF9"/>
    <w:rsid w:val="00D47115"/>
    <w:rsid w:val="00D47D41"/>
    <w:rsid w:val="00D512DC"/>
    <w:rsid w:val="00D57A41"/>
    <w:rsid w:val="00D61241"/>
    <w:rsid w:val="00D63803"/>
    <w:rsid w:val="00D648E0"/>
    <w:rsid w:val="00D72128"/>
    <w:rsid w:val="00D731AC"/>
    <w:rsid w:val="00D75993"/>
    <w:rsid w:val="00D83F89"/>
    <w:rsid w:val="00D84436"/>
    <w:rsid w:val="00D8735E"/>
    <w:rsid w:val="00D9294D"/>
    <w:rsid w:val="00DA5F7C"/>
    <w:rsid w:val="00DC0519"/>
    <w:rsid w:val="00DC12E6"/>
    <w:rsid w:val="00DD7B11"/>
    <w:rsid w:val="00DE0AFB"/>
    <w:rsid w:val="00DE528B"/>
    <w:rsid w:val="00DF1B17"/>
    <w:rsid w:val="00DF3956"/>
    <w:rsid w:val="00E0101F"/>
    <w:rsid w:val="00E03BD2"/>
    <w:rsid w:val="00E07E26"/>
    <w:rsid w:val="00E118F8"/>
    <w:rsid w:val="00E13F21"/>
    <w:rsid w:val="00E213D5"/>
    <w:rsid w:val="00E21A23"/>
    <w:rsid w:val="00E22C8D"/>
    <w:rsid w:val="00E25DD2"/>
    <w:rsid w:val="00E30708"/>
    <w:rsid w:val="00E31998"/>
    <w:rsid w:val="00E3283D"/>
    <w:rsid w:val="00E3623C"/>
    <w:rsid w:val="00E40DBC"/>
    <w:rsid w:val="00E611F6"/>
    <w:rsid w:val="00E65D18"/>
    <w:rsid w:val="00E84423"/>
    <w:rsid w:val="00E95F74"/>
    <w:rsid w:val="00EA14C1"/>
    <w:rsid w:val="00EA25AA"/>
    <w:rsid w:val="00EB0F35"/>
    <w:rsid w:val="00EC464E"/>
    <w:rsid w:val="00ED3B57"/>
    <w:rsid w:val="00ED6CB0"/>
    <w:rsid w:val="00EF62C2"/>
    <w:rsid w:val="00F02B8F"/>
    <w:rsid w:val="00F02E65"/>
    <w:rsid w:val="00F0597D"/>
    <w:rsid w:val="00F05CEE"/>
    <w:rsid w:val="00F06516"/>
    <w:rsid w:val="00F10F95"/>
    <w:rsid w:val="00F17B57"/>
    <w:rsid w:val="00F2539D"/>
    <w:rsid w:val="00F36C33"/>
    <w:rsid w:val="00F4602A"/>
    <w:rsid w:val="00F46801"/>
    <w:rsid w:val="00F506E0"/>
    <w:rsid w:val="00F51046"/>
    <w:rsid w:val="00F5190F"/>
    <w:rsid w:val="00F52185"/>
    <w:rsid w:val="00F61F85"/>
    <w:rsid w:val="00F70C84"/>
    <w:rsid w:val="00F72078"/>
    <w:rsid w:val="00F736E7"/>
    <w:rsid w:val="00F74603"/>
    <w:rsid w:val="00F753B1"/>
    <w:rsid w:val="00F82388"/>
    <w:rsid w:val="00F85186"/>
    <w:rsid w:val="00F86384"/>
    <w:rsid w:val="00F90C8A"/>
    <w:rsid w:val="00F97167"/>
    <w:rsid w:val="00FA62DB"/>
    <w:rsid w:val="00FB02C9"/>
    <w:rsid w:val="00FB11EB"/>
    <w:rsid w:val="00FB4105"/>
    <w:rsid w:val="00FB7538"/>
    <w:rsid w:val="00FD53CB"/>
    <w:rsid w:val="00FE03A1"/>
    <w:rsid w:val="00FE28DE"/>
    <w:rsid w:val="00FE363E"/>
    <w:rsid w:val="00FE553A"/>
    <w:rsid w:val="00FE63B2"/>
    <w:rsid w:val="00FE68CD"/>
    <w:rsid w:val="00FF0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2F258"/>
  <w15:chartTrackingRefBased/>
  <w15:docId w15:val="{301880BD-770F-4BE4-9789-00F65CBE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Indented Paragraph,Bullet list,Unordered List Level 1,Lettre d'introduction,List Paragraph1,Recommendation,List Paragraph11,List Paragraph - bullets,Resume Title,Dot pt,F5 List Paragraph,List Paragraph Char Char Char,Indicator Text,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39"/>
    <w:rsid w:val="00C4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ed Paragraph Char,Bullet list Char,Unordered List Level 1 Char,Lettre d'introduction Char,List Paragraph1 Char,Recommendation Char,List Paragraph11 Char,List Paragraph - bullets Char,Resume Title Char,Dot pt Char,Bullet Char"/>
    <w:link w:val="ListParagraph"/>
    <w:uiPriority w:val="34"/>
    <w:locked/>
    <w:rsid w:val="000C3D62"/>
    <w:rPr>
      <w:sz w:val="24"/>
    </w:rPr>
  </w:style>
  <w:style w:type="character" w:styleId="Hyperlink">
    <w:name w:val="Hyperlink"/>
    <w:basedOn w:val="DefaultParagraphFont"/>
    <w:uiPriority w:val="99"/>
    <w:unhideWhenUsed/>
    <w:rsid w:val="001619F0"/>
    <w:rPr>
      <w:color w:val="5F5F5F" w:themeColor="hyperlink"/>
      <w:u w:val="single"/>
    </w:rPr>
  </w:style>
  <w:style w:type="character" w:styleId="UnresolvedMention">
    <w:name w:val="Unresolved Mention"/>
    <w:basedOn w:val="DefaultParagraphFont"/>
    <w:uiPriority w:val="99"/>
    <w:semiHidden/>
    <w:unhideWhenUsed/>
    <w:rsid w:val="001619F0"/>
    <w:rPr>
      <w:color w:val="605E5C"/>
      <w:shd w:val="clear" w:color="auto" w:fill="E1DFDD"/>
    </w:rPr>
  </w:style>
  <w:style w:type="character" w:styleId="CommentReference">
    <w:name w:val="annotation reference"/>
    <w:basedOn w:val="DefaultParagraphFont"/>
    <w:uiPriority w:val="99"/>
    <w:semiHidden/>
    <w:unhideWhenUsed/>
    <w:rsid w:val="00A604C7"/>
    <w:rPr>
      <w:sz w:val="16"/>
      <w:szCs w:val="16"/>
    </w:rPr>
  </w:style>
  <w:style w:type="paragraph" w:styleId="CommentText">
    <w:name w:val="annotation text"/>
    <w:basedOn w:val="Normal"/>
    <w:link w:val="CommentTextChar"/>
    <w:uiPriority w:val="99"/>
    <w:semiHidden/>
    <w:unhideWhenUsed/>
    <w:rsid w:val="00A604C7"/>
    <w:pPr>
      <w:spacing w:line="240" w:lineRule="auto"/>
    </w:pPr>
    <w:rPr>
      <w:sz w:val="20"/>
      <w:szCs w:val="20"/>
    </w:rPr>
  </w:style>
  <w:style w:type="character" w:customStyle="1" w:styleId="CommentTextChar">
    <w:name w:val="Comment Text Char"/>
    <w:basedOn w:val="DefaultParagraphFont"/>
    <w:link w:val="CommentText"/>
    <w:uiPriority w:val="99"/>
    <w:semiHidden/>
    <w:rsid w:val="00A604C7"/>
    <w:rPr>
      <w:sz w:val="20"/>
      <w:szCs w:val="20"/>
    </w:rPr>
  </w:style>
  <w:style w:type="paragraph" w:styleId="CommentSubject">
    <w:name w:val="annotation subject"/>
    <w:basedOn w:val="CommentText"/>
    <w:next w:val="CommentText"/>
    <w:link w:val="CommentSubjectChar"/>
    <w:uiPriority w:val="99"/>
    <w:semiHidden/>
    <w:unhideWhenUsed/>
    <w:rsid w:val="00A604C7"/>
    <w:rPr>
      <w:b/>
      <w:bCs/>
    </w:rPr>
  </w:style>
  <w:style w:type="character" w:customStyle="1" w:styleId="CommentSubjectChar">
    <w:name w:val="Comment Subject Char"/>
    <w:basedOn w:val="CommentTextChar"/>
    <w:link w:val="CommentSubject"/>
    <w:uiPriority w:val="99"/>
    <w:semiHidden/>
    <w:rsid w:val="00A604C7"/>
    <w:rPr>
      <w:b/>
      <w:bCs/>
      <w:sz w:val="20"/>
      <w:szCs w:val="20"/>
    </w:rPr>
  </w:style>
  <w:style w:type="paragraph" w:styleId="NormalWeb">
    <w:name w:val="Normal (Web)"/>
    <w:basedOn w:val="Normal"/>
    <w:uiPriority w:val="99"/>
    <w:semiHidden/>
    <w:unhideWhenUsed/>
    <w:rsid w:val="00AC372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020">
      <w:bodyDiv w:val="1"/>
      <w:marLeft w:val="0"/>
      <w:marRight w:val="0"/>
      <w:marTop w:val="0"/>
      <w:marBottom w:val="0"/>
      <w:divBdr>
        <w:top w:val="none" w:sz="0" w:space="0" w:color="auto"/>
        <w:left w:val="none" w:sz="0" w:space="0" w:color="auto"/>
        <w:bottom w:val="none" w:sz="0" w:space="0" w:color="auto"/>
        <w:right w:val="none" w:sz="0" w:space="0" w:color="auto"/>
      </w:divBdr>
      <w:divsChild>
        <w:div w:id="127944893">
          <w:marLeft w:val="0"/>
          <w:marRight w:val="0"/>
          <w:marTop w:val="0"/>
          <w:marBottom w:val="0"/>
          <w:divBdr>
            <w:top w:val="none" w:sz="0" w:space="0" w:color="auto"/>
            <w:left w:val="none" w:sz="0" w:space="0" w:color="auto"/>
            <w:bottom w:val="none" w:sz="0" w:space="0" w:color="auto"/>
            <w:right w:val="none" w:sz="0" w:space="0" w:color="auto"/>
          </w:divBdr>
          <w:divsChild>
            <w:div w:id="1582329250">
              <w:marLeft w:val="0"/>
              <w:marRight w:val="0"/>
              <w:marTop w:val="0"/>
              <w:marBottom w:val="0"/>
              <w:divBdr>
                <w:top w:val="none" w:sz="0" w:space="0" w:color="auto"/>
                <w:left w:val="none" w:sz="0" w:space="0" w:color="auto"/>
                <w:bottom w:val="none" w:sz="0" w:space="0" w:color="auto"/>
                <w:right w:val="none" w:sz="0" w:space="0" w:color="auto"/>
              </w:divBdr>
              <w:divsChild>
                <w:div w:id="15003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6608">
      <w:bodyDiv w:val="1"/>
      <w:marLeft w:val="0"/>
      <w:marRight w:val="0"/>
      <w:marTop w:val="0"/>
      <w:marBottom w:val="0"/>
      <w:divBdr>
        <w:top w:val="none" w:sz="0" w:space="0" w:color="auto"/>
        <w:left w:val="none" w:sz="0" w:space="0" w:color="auto"/>
        <w:bottom w:val="none" w:sz="0" w:space="0" w:color="auto"/>
        <w:right w:val="none" w:sz="0" w:space="0" w:color="auto"/>
      </w:divBdr>
    </w:div>
    <w:div w:id="496653887">
      <w:bodyDiv w:val="1"/>
      <w:marLeft w:val="0"/>
      <w:marRight w:val="0"/>
      <w:marTop w:val="0"/>
      <w:marBottom w:val="0"/>
      <w:divBdr>
        <w:top w:val="none" w:sz="0" w:space="0" w:color="auto"/>
        <w:left w:val="none" w:sz="0" w:space="0" w:color="auto"/>
        <w:bottom w:val="none" w:sz="0" w:space="0" w:color="auto"/>
        <w:right w:val="none" w:sz="0" w:space="0" w:color="auto"/>
      </w:divBdr>
    </w:div>
    <w:div w:id="762145052">
      <w:bodyDiv w:val="1"/>
      <w:marLeft w:val="0"/>
      <w:marRight w:val="0"/>
      <w:marTop w:val="0"/>
      <w:marBottom w:val="0"/>
      <w:divBdr>
        <w:top w:val="none" w:sz="0" w:space="0" w:color="auto"/>
        <w:left w:val="none" w:sz="0" w:space="0" w:color="auto"/>
        <w:bottom w:val="none" w:sz="0" w:space="0" w:color="auto"/>
        <w:right w:val="none" w:sz="0" w:space="0" w:color="auto"/>
      </w:divBdr>
    </w:div>
    <w:div w:id="1259370808">
      <w:bodyDiv w:val="1"/>
      <w:marLeft w:val="0"/>
      <w:marRight w:val="0"/>
      <w:marTop w:val="0"/>
      <w:marBottom w:val="0"/>
      <w:divBdr>
        <w:top w:val="none" w:sz="0" w:space="0" w:color="auto"/>
        <w:left w:val="none" w:sz="0" w:space="0" w:color="auto"/>
        <w:bottom w:val="none" w:sz="0" w:space="0" w:color="auto"/>
        <w:right w:val="none" w:sz="0" w:space="0" w:color="auto"/>
      </w:divBdr>
    </w:div>
    <w:div w:id="1293824310">
      <w:bodyDiv w:val="1"/>
      <w:marLeft w:val="0"/>
      <w:marRight w:val="0"/>
      <w:marTop w:val="0"/>
      <w:marBottom w:val="0"/>
      <w:divBdr>
        <w:top w:val="none" w:sz="0" w:space="0" w:color="auto"/>
        <w:left w:val="none" w:sz="0" w:space="0" w:color="auto"/>
        <w:bottom w:val="none" w:sz="0" w:space="0" w:color="auto"/>
        <w:right w:val="none" w:sz="0" w:space="0" w:color="auto"/>
      </w:divBdr>
      <w:divsChild>
        <w:div w:id="1241720199">
          <w:marLeft w:val="0"/>
          <w:marRight w:val="0"/>
          <w:marTop w:val="0"/>
          <w:marBottom w:val="0"/>
          <w:divBdr>
            <w:top w:val="none" w:sz="0" w:space="0" w:color="auto"/>
            <w:left w:val="none" w:sz="0" w:space="0" w:color="auto"/>
            <w:bottom w:val="none" w:sz="0" w:space="0" w:color="auto"/>
            <w:right w:val="none" w:sz="0" w:space="0" w:color="auto"/>
          </w:divBdr>
          <w:divsChild>
            <w:div w:id="677316937">
              <w:marLeft w:val="0"/>
              <w:marRight w:val="0"/>
              <w:marTop w:val="0"/>
              <w:marBottom w:val="0"/>
              <w:divBdr>
                <w:top w:val="none" w:sz="0" w:space="0" w:color="auto"/>
                <w:left w:val="none" w:sz="0" w:space="0" w:color="auto"/>
                <w:bottom w:val="none" w:sz="0" w:space="0" w:color="auto"/>
                <w:right w:val="none" w:sz="0" w:space="0" w:color="auto"/>
              </w:divBdr>
              <w:divsChild>
                <w:div w:id="5299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90559">
      <w:bodyDiv w:val="1"/>
      <w:marLeft w:val="0"/>
      <w:marRight w:val="0"/>
      <w:marTop w:val="0"/>
      <w:marBottom w:val="0"/>
      <w:divBdr>
        <w:top w:val="none" w:sz="0" w:space="0" w:color="auto"/>
        <w:left w:val="none" w:sz="0" w:space="0" w:color="auto"/>
        <w:bottom w:val="none" w:sz="0" w:space="0" w:color="auto"/>
        <w:right w:val="none" w:sz="0" w:space="0" w:color="auto"/>
      </w:divBdr>
      <w:divsChild>
        <w:div w:id="2123527392">
          <w:marLeft w:val="0"/>
          <w:marRight w:val="0"/>
          <w:marTop w:val="0"/>
          <w:marBottom w:val="0"/>
          <w:divBdr>
            <w:top w:val="none" w:sz="0" w:space="0" w:color="auto"/>
            <w:left w:val="none" w:sz="0" w:space="0" w:color="auto"/>
            <w:bottom w:val="none" w:sz="0" w:space="0" w:color="auto"/>
            <w:right w:val="none" w:sz="0" w:space="0" w:color="auto"/>
          </w:divBdr>
          <w:divsChild>
            <w:div w:id="1038118119">
              <w:marLeft w:val="0"/>
              <w:marRight w:val="0"/>
              <w:marTop w:val="0"/>
              <w:marBottom w:val="0"/>
              <w:divBdr>
                <w:top w:val="none" w:sz="0" w:space="0" w:color="auto"/>
                <w:left w:val="none" w:sz="0" w:space="0" w:color="auto"/>
                <w:bottom w:val="none" w:sz="0" w:space="0" w:color="auto"/>
                <w:right w:val="none" w:sz="0" w:space="0" w:color="auto"/>
              </w:divBdr>
              <w:divsChild>
                <w:div w:id="9372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4960">
      <w:bodyDiv w:val="1"/>
      <w:marLeft w:val="0"/>
      <w:marRight w:val="0"/>
      <w:marTop w:val="0"/>
      <w:marBottom w:val="0"/>
      <w:divBdr>
        <w:top w:val="none" w:sz="0" w:space="0" w:color="auto"/>
        <w:left w:val="none" w:sz="0" w:space="0" w:color="auto"/>
        <w:bottom w:val="none" w:sz="0" w:space="0" w:color="auto"/>
        <w:right w:val="none" w:sz="0" w:space="0" w:color="auto"/>
      </w:divBdr>
      <w:divsChild>
        <w:div w:id="1611204094">
          <w:marLeft w:val="0"/>
          <w:marRight w:val="0"/>
          <w:marTop w:val="0"/>
          <w:marBottom w:val="0"/>
          <w:divBdr>
            <w:top w:val="none" w:sz="0" w:space="0" w:color="auto"/>
            <w:left w:val="none" w:sz="0" w:space="0" w:color="auto"/>
            <w:bottom w:val="none" w:sz="0" w:space="0" w:color="auto"/>
            <w:right w:val="none" w:sz="0" w:space="0" w:color="auto"/>
          </w:divBdr>
          <w:divsChild>
            <w:div w:id="1682663647">
              <w:marLeft w:val="0"/>
              <w:marRight w:val="0"/>
              <w:marTop w:val="0"/>
              <w:marBottom w:val="0"/>
              <w:divBdr>
                <w:top w:val="none" w:sz="0" w:space="0" w:color="auto"/>
                <w:left w:val="none" w:sz="0" w:space="0" w:color="auto"/>
                <w:bottom w:val="none" w:sz="0" w:space="0" w:color="auto"/>
                <w:right w:val="none" w:sz="0" w:space="0" w:color="auto"/>
              </w:divBdr>
              <w:divsChild>
                <w:div w:id="7386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2292">
      <w:bodyDiv w:val="1"/>
      <w:marLeft w:val="0"/>
      <w:marRight w:val="0"/>
      <w:marTop w:val="0"/>
      <w:marBottom w:val="0"/>
      <w:divBdr>
        <w:top w:val="none" w:sz="0" w:space="0" w:color="auto"/>
        <w:left w:val="none" w:sz="0" w:space="0" w:color="auto"/>
        <w:bottom w:val="none" w:sz="0" w:space="0" w:color="auto"/>
        <w:right w:val="none" w:sz="0" w:space="0" w:color="auto"/>
      </w:divBdr>
    </w:div>
    <w:div w:id="19763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ity@mcmaster.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quity@mcmaster.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F3768708F8D5469BF22073CA3C775C" ma:contentTypeVersion="11" ma:contentTypeDescription="Create a new document." ma:contentTypeScope="" ma:versionID="d2fdfdf25785469af70a29f3ed12721f">
  <xsd:schema xmlns:xsd="http://www.w3.org/2001/XMLSchema" xmlns:xs="http://www.w3.org/2001/XMLSchema" xmlns:p="http://schemas.microsoft.com/office/2006/metadata/properties" xmlns:ns3="5c8339e4-815d-4482-bba6-6a42a7b4e74a" xmlns:ns4="d1c379b3-dfe8-4929-b104-6d491e835ba1" targetNamespace="http://schemas.microsoft.com/office/2006/metadata/properties" ma:root="true" ma:fieldsID="2c2b4cb2f371aabcfbc8c8ebbece91c0" ns3:_="" ns4:_="">
    <xsd:import namespace="5c8339e4-815d-4482-bba6-6a42a7b4e74a"/>
    <xsd:import namespace="d1c379b3-dfe8-4929-b104-6d491e835b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339e4-815d-4482-bba6-6a42a7b4e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379b3-dfe8-4929-b104-6d491e835b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3CDC9-7E0D-4EE5-86F7-8792B10ACB23}">
  <ds:schemaRefs>
    <ds:schemaRef ds:uri="http://schemas.microsoft.com/sharepoint/v3/contenttype/forms"/>
  </ds:schemaRefs>
</ds:datastoreItem>
</file>

<file path=customXml/itemProps2.xml><?xml version="1.0" encoding="utf-8"?>
<ds:datastoreItem xmlns:ds="http://schemas.openxmlformats.org/officeDocument/2006/customXml" ds:itemID="{904F6721-887B-4677-840E-23386B5632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8FDE1-2766-4ED0-BB4C-E57F5AE193F9}">
  <ds:schemaRefs>
    <ds:schemaRef ds:uri="http://schemas.openxmlformats.org/officeDocument/2006/bibliography"/>
  </ds:schemaRefs>
</ds:datastoreItem>
</file>

<file path=customXml/itemProps4.xml><?xml version="1.0" encoding="utf-8"?>
<ds:datastoreItem xmlns:ds="http://schemas.openxmlformats.org/officeDocument/2006/customXml" ds:itemID="{9F0DD350-4CCC-4F15-9D00-A5BB8EDC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339e4-815d-4482-bba6-6a42a7b4e74a"/>
    <ds:schemaRef ds:uri="d1c379b3-dfe8-4929-b104-6d491e835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Scott</dc:creator>
  <cp:keywords/>
  <dc:description/>
  <cp:lastModifiedBy>Esme Davies</cp:lastModifiedBy>
  <cp:revision>8</cp:revision>
  <dcterms:created xsi:type="dcterms:W3CDTF">2022-06-06T15:23:00Z</dcterms:created>
  <dcterms:modified xsi:type="dcterms:W3CDTF">2022-06-06T15:36:00Z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Anne.Scott@ontario.ca</vt:lpwstr>
  </property>
  <property fmtid="{D5CDD505-2E9C-101B-9397-08002B2CF9AE}" pid="5" name="MSIP_Label_034a106e-6316-442c-ad35-738afd673d2b_SetDate">
    <vt:lpwstr>2020-06-12T13:38:39.1254624Z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aa8ad8a5-1212-47ca-b2ad-478a8eff9724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0x010100DCF3768708F8D5469BF22073CA3C775C</vt:lpwstr>
  </property>
</Properties>
</file>